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52"/>
          <w:szCs w:val="52"/>
          <w:b w:val="1"/>
          <w:bCs w:val="1"/>
          <w:color w:val="auto"/>
        </w:rPr>
        <w:t>БИЗНЕС</w:t>
      </w:r>
      <w:r>
        <w:rPr>
          <w:rFonts w:ascii="Times New Roman" w:cs="Times New Roman" w:eastAsia="Times New Roman" w:hAnsi="Times New Roman"/>
          <w:sz w:val="52"/>
          <w:szCs w:val="52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52"/>
          <w:szCs w:val="52"/>
          <w:b w:val="1"/>
          <w:bCs w:val="1"/>
          <w:color w:val="auto"/>
        </w:rPr>
        <w:t>ПЛАН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328930</wp:posOffset>
                </wp:positionV>
                <wp:extent cx="594360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pt,25.9pt" to="481pt,25.9pt" o:allowincell="f" strokecolor="#C0C0C0" strokeweight="2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43"/>
          <w:szCs w:val="43"/>
          <w:b w:val="1"/>
          <w:bCs w:val="1"/>
          <w:color w:val="auto"/>
        </w:rPr>
        <w:t>Строительство малоэтажного жилья</w:t>
      </w:r>
    </w:p>
    <w:p>
      <w:pPr>
        <w:sectPr>
          <w:pgSz w:w="11900" w:h="16840" w:orient="portrait"/>
          <w:cols w:equalWidth="0" w:num="1">
            <w:col w:w="9580"/>
          </w:cols>
          <w:pgMar w:left="1440" w:top="1440" w:right="884" w:bottom="1440" w:gutter="0" w:footer="0" w:header="0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Содержание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720" w:val="left"/>
          <w:tab w:leader="dot" w:pos="9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Резюме проекта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ind w:left="500"/>
        <w:spacing w:after="0"/>
        <w:tabs>
          <w:tab w:leader="dot" w:pos="9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Цели и задачи проекта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ind w:left="500"/>
        <w:spacing w:after="0"/>
        <w:tabs>
          <w:tab w:leader="dot" w:pos="9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Основная информация о предприятии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ind w:left="260"/>
        <w:spacing w:after="0"/>
        <w:tabs>
          <w:tab w:leader="none" w:pos="720" w:val="left"/>
          <w:tab w:leader="dot" w:pos="9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Анализ рынка жилья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</w:p>
    <w:p>
      <w:pPr>
        <w:ind w:left="500"/>
        <w:spacing w:after="0"/>
        <w:tabs>
          <w:tab w:leader="dot" w:pos="9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Анализ конкурентов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</w:p>
    <w:p>
      <w:pPr>
        <w:ind w:left="500"/>
        <w:spacing w:after="0"/>
        <w:tabs>
          <w:tab w:leader="dot" w:pos="9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жилого комплекса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</w:p>
    <w:p>
      <w:pPr>
        <w:ind w:left="500"/>
        <w:spacing w:after="0"/>
        <w:tabs>
          <w:tab w:leader="dot" w:pos="9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земельного участка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</w:p>
    <w:p>
      <w:pPr>
        <w:ind w:left="260"/>
        <w:spacing w:after="0" w:line="238" w:lineRule="auto"/>
        <w:tabs>
          <w:tab w:leader="none" w:pos="720" w:val="left"/>
          <w:tab w:leader="dot" w:pos="9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 маркетинга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00"/>
        <w:spacing w:after="0"/>
        <w:tabs>
          <w:tab w:leader="dot" w:pos="9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Позиционирование проекта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</w:t>
      </w:r>
    </w:p>
    <w:p>
      <w:pPr>
        <w:ind w:left="500"/>
        <w:spacing w:after="0"/>
        <w:tabs>
          <w:tab w:leader="dot" w:pos="9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Маркетинговая стратегия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</w:t>
      </w:r>
    </w:p>
    <w:p>
      <w:pPr>
        <w:ind w:left="500"/>
        <w:spacing w:after="0"/>
        <w:tabs>
          <w:tab w:leader="dot" w:pos="9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Продвижение товара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</w:t>
      </w:r>
    </w:p>
    <w:p>
      <w:pPr>
        <w:ind w:left="260"/>
        <w:spacing w:after="0"/>
        <w:tabs>
          <w:tab w:leader="none" w:pos="720" w:val="left"/>
          <w:tab w:leader="dot" w:pos="9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Инвестиционный план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</w:t>
      </w:r>
    </w:p>
    <w:p>
      <w:pPr>
        <w:ind w:left="500"/>
        <w:spacing w:after="0"/>
        <w:tabs>
          <w:tab w:leader="dot" w:pos="9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Календарный график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</w:t>
      </w:r>
    </w:p>
    <w:p>
      <w:pPr>
        <w:ind w:left="260"/>
        <w:spacing w:after="0"/>
        <w:tabs>
          <w:tab w:leader="none" w:pos="720" w:val="left"/>
          <w:tab w:leader="dot" w:pos="9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Объем сбыта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</w:t>
      </w:r>
    </w:p>
    <w:p>
      <w:pPr>
        <w:ind w:left="260"/>
        <w:spacing w:after="0"/>
        <w:tabs>
          <w:tab w:leader="none" w:pos="720" w:val="left"/>
          <w:tab w:leader="dot" w:pos="9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Общие издержки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</w:t>
      </w:r>
    </w:p>
    <w:p>
      <w:pPr>
        <w:ind w:left="260"/>
        <w:spacing w:after="0"/>
        <w:tabs>
          <w:tab w:leader="none" w:pos="720" w:val="left"/>
          <w:tab w:leader="dot" w:pos="9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 по персоналу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</w:t>
      </w:r>
    </w:p>
    <w:p>
      <w:pPr>
        <w:ind w:left="260"/>
        <w:spacing w:after="0"/>
        <w:tabs>
          <w:tab w:leader="none" w:pos="720" w:val="left"/>
          <w:tab w:leader="dot" w:pos="9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Финансовый план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</w:t>
      </w:r>
    </w:p>
    <w:p>
      <w:pPr>
        <w:ind w:left="260"/>
        <w:spacing w:after="0"/>
        <w:tabs>
          <w:tab w:leader="none" w:pos="720" w:val="left"/>
          <w:tab w:leader="dot" w:pos="9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Показатели эффективности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</w:t>
      </w:r>
    </w:p>
    <w:p>
      <w:pPr>
        <w:ind w:left="260"/>
        <w:spacing w:after="0"/>
        <w:tabs>
          <w:tab w:leader="dot" w:pos="9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10.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Оценка рисков и анализ чувствительности проекта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</w:t>
      </w:r>
    </w:p>
    <w:p>
      <w:pPr>
        <w:ind w:left="260"/>
        <w:spacing w:after="0"/>
        <w:tabs>
          <w:tab w:leader="dot" w:pos="9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11.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Заключение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22</w:t>
      </w:r>
    </w:p>
    <w:p>
      <w:pPr>
        <w:ind w:left="260"/>
        <w:spacing w:after="0"/>
        <w:tabs>
          <w:tab w:leader="dot" w:pos="9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12.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</w:t>
      </w:r>
    </w:p>
    <w:p>
      <w:pPr>
        <w:sectPr>
          <w:pgSz w:w="11900" w:h="16840" w:orient="portrait"/>
          <w:cols w:equalWidth="0" w:num="1">
            <w:col w:w="9600"/>
          </w:cols>
          <w:pgMar w:left="1440" w:top="1110" w:right="864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Резюме проекта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Необходимо описать основную бизнес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идею проекта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его привлекательность для инвестирования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в том числе рыночные перспективы проекта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Можно включить в данный раздел информацию о предприятии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об инициаторе проекта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Необходимо указать длительность проекта в месяцах или годах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привести значения показателей эффективности инвестиций и по возможности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динамику изменений денежного потока и чистой прибыли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Привести необходимый объем инвестирования в проект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коротко описать на какие цели направляются инвестируемые средства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Из резюме инвестор должен получить всю необходимую информацию с тем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чтобы дальше продолжить знакомиться с вашим проектом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Инициатор проекта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260" w:right="3940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Общество с ограниченной ответственностью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ХХХ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Адрес местонахождения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город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.X,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офис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X.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Учредитель организации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Адрес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N,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X,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офис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Доля в уставном капитале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100%.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Руководитель организации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Генеральный директор ООО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ХХХ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Стоимость проекта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678 409,10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тыс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Финансирование проекта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260" w:right="64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Укажите общую стоимость проекта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сумму денежных средств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необходимых для реализации проекта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-300 000 000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заемные средства в виде инвестиционного банковского кредита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Срок реализации проекта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560" w:hanging="298"/>
        <w:spacing w:after="0"/>
        <w:tabs>
          <w:tab w:leader="none" w:pos="5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месяцев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январь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2008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июнь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Суть проекта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Строительство жилого комплекса малоэтажной застройки в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общей площадью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Финансовые показатели проекта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Банк и инвесторы обратят внимание на показатели эффективности инвестиций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а также на используемую в расчете ставку дисконтирования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учитывающую риски проекта и связанную с эти различную стоимость денег во времени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</w:p>
    <w:p>
      <w:pPr>
        <w:sectPr>
          <w:pgSz w:w="11900" w:h="16840" w:orient="portrait"/>
          <w:cols w:equalWidth="0" w:num="1">
            <w:col w:w="9620"/>
          </w:cols>
          <w:pgMar w:left="1440" w:top="1440" w:right="844" w:bottom="1002" w:gutter="0" w:footer="0" w:header="0"/>
        </w:sectPr>
      </w:pPr>
    </w:p>
    <w:p>
      <w:pPr>
        <w:ind w:left="260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Проект может быть принят при положительном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NPV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и при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IRR,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превышающем желательную для банка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инвестора доходность альтернативных вложений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260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Объем реализации за весь период реализации проекта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1,36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млрд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Чистая прибыль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382,33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млн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 w:right="3680"/>
        <w:spacing w:after="0" w:line="3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Чистая приведенная стоимость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(NPV) – 210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млн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руб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Внутренняя норма доходности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(IRR) – 98,19%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Дисконтированный срок окупаемости проекта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– 2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Настоящий бизнес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 посвящен экономическому обоснованию целесообразности инвестирования в строительство жилого комплекса в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N.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бизнес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плане собрана вся необходимая информация для проведения инвестиционных расчетов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основные статьи доходов и затрат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потребуется совершить при реализации проекта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Представлено описание основных характеристик первичного рынка жилой недвижимости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основе этих показателей сделан прогноз дальнейшего развития рынка в период реализации проекта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соответственно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план продаж жилья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Проведена оценка эффективности и рисков инвестиционного проекта и рассчитаны основные интегральные показатели проекта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чистый дисконтированный доход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(NPV),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внутренняя норма доходности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(IRR),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индекс доходности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(PI),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дисконтированный период окупаемости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(DPP).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Представляемый инвестиционный проект предполагает строительство жилого комплекса общей площадью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Жилой массив будет состоять из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х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этажных домов с общим количеством квартир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560,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left="620" w:right="4740"/>
        <w:spacing w:after="0" w:line="297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однокомнатные квартиры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170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штук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двухкомнатные квартиры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220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штук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трехкомнатные квартиры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170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штук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Реализация проекта позволит начать развитие и благоустройство пустующего земельного участка площадью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23,3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расположенного в очень привлекательном месте с точки зрения инвестирования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Цели и задачи проекта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274" w:lineRule="auto"/>
        <w:tabs>
          <w:tab w:leader="none" w:pos="506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чем состоит основная цель проекта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Кратко расскажите о нем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о рыночных целях проекта и об основных этапах его реализации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266" w:lineRule="auto"/>
        <w:tabs>
          <w:tab w:leader="none" w:pos="516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Рассмотрение практической возможности строительства жилищного комплекса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2008-2010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имеющемся земельном участке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 w:firstLine="2"/>
        <w:spacing w:after="0" w:line="266" w:lineRule="auto"/>
        <w:tabs>
          <w:tab w:leader="none" w:pos="536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Обоснование прибыльности и эффективности реализации инвестиционного проекта в сфере жилищного строительства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 w:firstLine="2"/>
        <w:spacing w:after="0" w:line="266" w:lineRule="auto"/>
        <w:tabs>
          <w:tab w:leader="none" w:pos="501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Обоснование возможности возврата кредитных ресурсов на заданных условиях и сроках кредитования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26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Строительство жилого комплекса организуется на базе нового предприятия ООО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ХХХ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которое будет выступать заказчиком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застройщиком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Все строительно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монтажные и прочие производственные работы будут осуществляться организациями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подрядчиками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248" w:lineRule="auto"/>
        <w:tabs>
          <w:tab w:leader="none" w:pos="891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ХХХ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будет осуществлять функции по управлению инвестиционным проектом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включая всю организацию продаж жилья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Для реализации проекта требуются финансовые вложения в размере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млн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Реализация проекта предусматривается посредством привлечения инвестиционного банковского кредита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Возврат заемных средств запланирован единовременным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полной</w:t>
      </w:r>
    </w:p>
    <w:p>
      <w:pPr>
        <w:sectPr>
          <w:pgSz w:w="11900" w:h="16840" w:orient="portrait"/>
          <w:cols w:equalWidth="0" w:num="1">
            <w:col w:w="9620"/>
          </w:cols>
          <w:pgMar w:left="1440" w:top="1112" w:right="844" w:bottom="744" w:gutter="0" w:footer="0" w:header="0"/>
        </w:sectPr>
      </w:pPr>
    </w:p>
    <w:p>
      <w:pPr>
        <w:jc w:val="both"/>
        <w:ind w:left="26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сумме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через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качестве обеспечения по получаемому кредиту проектом предлагаются поручительства аффилированных компаний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принадлежащее им недвижимое имущество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Возврат инвестиций будет осуществляться за счет выручки от продажи квартир в жилом комплексе на основе договоров инвестирования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долевого участия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заключаемых с организациями и физическими лицами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Предложение квартир в районе реки значительно выигрывает за счет местоположения жилого комплекса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удобной архитектуры и интересных проектных решений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Привлекательность проекту добавляет отсутствие затрат по отселению населения и работ по сносу ветхого жилья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Первостепенной задачей при организации строительного процесса в области качества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44" w:lineRule="auto"/>
        <w:tabs>
          <w:tab w:leader="none" w:pos="974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ХХХ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считает соблюдение соответствия возводимых зданий современным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требованиям рынка жилья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строгое соответствие строительным нормам и правилам и разработанной проектно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сметной документации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Потенциальными покупателями квартир в жилом комплексе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ХХХ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являются люди со средним доходом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совокупный месячный доход на семью после налогообложения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1000 -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3000 $).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Как правило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это люди в возрасте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25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55-60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наемные специалисты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менеджеры среднего звена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собственники малого бизнеса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Планируется продвижение комплекса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ХХХ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микрорайона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идеального для молодой семьи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стартовой ступени в новую жизнь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 первой собственной квартире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26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Общий объем реализации квартир в течение срока реализации проекта запланирован на уровне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1348,7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млн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Общая сумма затрат по проекту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468 846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Ожидаемые затраты 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 общей площади строящегося комплекса составят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11,2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Сумма ежемесячных процентов по кредиту составит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3 750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Прибыль от реализации проекта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 налогообложения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составит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755,5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млн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чистая прибыль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после уплаты налога и платежей из прибыли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– 532,8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млн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Получение прибыли от продажи квартир запланировано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начиная с ноября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2008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Срок окупаемости инвестиционных вложений по проекту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Дисконтированный срок окупаемости инвестиционных вложений по проекту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месяца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Чистый дисконтированный доход за расчетный период планирования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составляет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млн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Индекс доходности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рентабельности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инвестиций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1,36.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45" w:lineRule="auto"/>
        <w:tabs>
          <w:tab w:leader="none" w:pos="50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проекте учтено влияние основных рисков на финансовые показатели и предусмотрены меры по их снижению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Проект наиболее чувствителен к изменению величины выручки от продаж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Учитывая это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проектом предусмотрена политика ценообразования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соответствии с которой изменение стоимости одного квадратного метра жилья рассчитано исходя из наиболее пессимистического варианта развития событий в ближайшие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Кроме того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стоимость квартир в комплексе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ХХХ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проекте установлена существенно ниже уровня рыночных цен на аналогичное жилье в близлежащих микрорайонах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2"/>
        <w:spacing w:after="0" w:line="271" w:lineRule="auto"/>
        <w:tabs>
          <w:tab w:leader="none" w:pos="544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связи с этим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вероятность снижения цен на возводимое жилье при осуществлении фактических продаж в рамках проекта сводится к минимуму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Основная информация о предприятии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000080"/>
        </w:rPr>
        <w:t xml:space="preserve">Кратко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расскажите об истории компании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Arial" w:cs="Arial" w:eastAsia="Arial" w:hAnsi="Arial"/>
          <w:sz w:val="20"/>
          <w:szCs w:val="20"/>
          <w:i w:val="1"/>
          <w:iCs w:val="1"/>
          <w:color w:val="00008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сроке жизни на рынке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Arial" w:cs="Arial" w:eastAsia="Arial" w:hAnsi="Arial"/>
          <w:sz w:val="20"/>
          <w:szCs w:val="20"/>
          <w:i w:val="1"/>
          <w:iCs w:val="1"/>
          <w:color w:val="00008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местоположении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Arial" w:cs="Arial" w:eastAsia="Arial" w:hAnsi="Arial"/>
          <w:sz w:val="20"/>
          <w:szCs w:val="20"/>
          <w:i w:val="1"/>
          <w:iCs w:val="1"/>
          <w:color w:val="00008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юридической форме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</w:p>
    <w:p>
      <w:pPr>
        <w:jc w:val="both"/>
        <w:ind w:left="260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Что является основными направлениями деятельности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Какие услуги компания оказывает или продукты производит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Опишите основные продукты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их назначение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перечислите характеристики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отметьте соответствие стандартам и требованиям</w:t>
      </w:r>
    </w:p>
    <w:p>
      <w:pPr>
        <w:sectPr>
          <w:pgSz w:w="11900" w:h="16840" w:orient="portrait"/>
          <w:cols w:equalWidth="0" w:num="1">
            <w:col w:w="9620"/>
          </w:cols>
          <w:pgMar w:left="1440" w:top="1114" w:right="844" w:bottom="913" w:gutter="0" w:footer="0" w:header="0"/>
        </w:sectPr>
      </w:pPr>
    </w:p>
    <w:p>
      <w:pPr>
        <w:jc w:val="both"/>
        <w:ind w:left="260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качества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Отметьте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на какой стадии находится продукт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идея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проект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опытный образец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производство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Общество с ограниченной ответственностью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ХХХ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создано в январе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2007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целевого осуществления деятельности по разработке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организации и последующей реализации инвестиционного проекта по строительству жилого комплекса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ХХХ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Банковские реквизиты предприятия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расчетный счет №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Учредителем предприятия является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доля в уставном капитале общества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100%).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Численность персонала по состоянию 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01.01.2008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 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человек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Анализ рынка жилья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Необходимо кратко описать бизнес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идею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отражающую уникальность данного проекта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Бизнес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план должен показывать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что предприниматель хорошо знает рынок своих продуктов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услуг и прекрасно представляет требования рынка к своей продукции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Этому посвящен раздел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"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Анализ рынка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".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Здесь стоит привести данные обо всей отрасли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отдельных рынках и сегментах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на которых работает или на которые только собирается выходить компания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При подготовке данного раздела потребуется ответить на следующие вопросы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на каких рынках работает компания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какова их емкость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объем закупаемых или потребляемых на этой территории продуктов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услуг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Растут ли эти рынки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увеличивается ли на них объем продаж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Как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на сколько процентов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он рос последние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3-5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лет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Какие тенденции и закономерности можно отметить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Как они повлияют в дальнейшем на объемы рынка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каковы его перспективы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Как вы планируете вести продажу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по каким ценам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на каких условиях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напрямую или через посредников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Какой бюджет потребуется на сбыт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Как собираетесь проводить рекламную компанию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Неплохо проанализировать цены на используемое вами сырье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комплектующие и полуфабрикаты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оценить возможные ограничения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объем партий и сроки закупки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возможность заключения контрактов и своевременного получения и пр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.)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Приведенные в разделе выводы позволяют аргументировать прогнозируемые объемы и цены продаж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предполагаемую динамику и обеспечивающие ее вложения в сбыт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Тенденция последних двух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трех лет на рынке недвижимости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повышенный интерес представителей среднего класса к загородным объектам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Уровень достатка определяет и уровень притязаний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Если рассматривать в целом предпочтения среднего класса в отношении загородной недвижимости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 структура следующая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4946650" cy="2833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28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ectPr>
          <w:pgSz w:w="11900" w:h="16840" w:orient="portrait"/>
          <w:cols w:equalWidth="0" w:num="1">
            <w:col w:w="9620"/>
          </w:cols>
          <w:pgMar w:left="1440" w:top="1112" w:right="844" w:bottom="620" w:gutter="0" w:footer="0" w:header="0"/>
        </w:sectPr>
      </w:pPr>
    </w:p>
    <w:p>
      <w:pPr>
        <w:jc w:val="both"/>
        <w:ind w:left="26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Таким образом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предпочтения потребителей складываются в сложную многомерную модель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ограничивающуюся показателями цены и качества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Совершенно определенно можно утверждать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каждая группа потенциальных покупателей в зависимости от типа желаемой недвижимости выдвигает свои пожелания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подчас идущие в противоречие с пожеланиями других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Потенциальными покупателями квартир в жилом комплексе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ХХХ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являются люди со средним доходом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совокупный месячный доход на семью после налогообложения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1000 -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3000 $).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Как правило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это люди в возрасте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25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55-60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наемные специалисты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менеджеры среднего звена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собственники малого бизнеса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Мотивы для покупки жилья в строящемся жилом комплексе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jc w:val="both"/>
        <w:ind w:left="620" w:right="6000"/>
        <w:spacing w:after="0" w:line="303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собственное проживание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покупка квартиры детям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620" w:right="2560"/>
        <w:spacing w:after="0" w:line="287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приобретение жилой площади для престарелых родителей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инвестиции в недвижимость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Ситуационный анализ рынка жилья в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позволяет выделить следующие сегменты в группе потенциальных покупателей квартир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ХХХ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»: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ind w:left="980" w:hanging="360"/>
        <w:spacing w:after="0" w:line="288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70%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менеджеры среднего звена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предприниматели малого бизнеса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собственники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квартир во вторичном рынке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возраст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совокупный доход на семью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-$1000-2000.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right"/>
        <w:ind w:left="980" w:hanging="360"/>
        <w:spacing w:after="0" w:line="278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30%  –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собственники  малого  и  среднего  бизнеса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высокооплачиваемые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покупающие квартиру детям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студентам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молодым специалистам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родителям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сдачи внаем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вложений в недвижимость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возраст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-40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лет и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старше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260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Возможными схемами оплаты жилья для обеих групп являются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ипотечное кредитование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средства от продажи имеющейся квартиры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оплата жилья в рассрочку по договору долевого участия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100%-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единовременная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оплата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банковский кредит на недостающую сумму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0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Маркетинговый анализ показывает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при выборе потребителями жилья среднего класса для них имеют значение следующие характеристики квартиры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начиная с наиболее важной и далее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убыванию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):</w:t>
      </w:r>
    </w:p>
    <w:p>
      <w:pPr>
        <w:spacing w:after="0" w:line="109" w:lineRule="exact"/>
        <w:rPr>
          <w:sz w:val="20"/>
          <w:szCs w:val="20"/>
          <w:color w:val="auto"/>
        </w:rPr>
      </w:pPr>
    </w:p>
    <w:p>
      <w:pPr>
        <w:ind w:left="620" w:right="4080"/>
        <w:spacing w:after="0" w:line="32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стоимость одного квадратного метра жилья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месторасположение жилья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площадь квартиры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единая социальная среда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620" w:right="4500"/>
        <w:spacing w:after="0" w:line="290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наличие минимальной инфраструктуры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технология возведения зданий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состояние квартиры к сдаче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удобные схемы оплаты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26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Основными потребительскими качествами предлагаемого в данном проекте жилья являются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ind w:left="980" w:hanging="360"/>
        <w:spacing w:after="0" w:line="294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новое неординарное предложение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квартиры в жилом комплексе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ХХХ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одном из лучших районов города с благоприятной экологией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20"/>
        <w:spacing w:after="0" w:line="294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единая социальная среда жителей и прилегающих к дому территорий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80" w:hanging="360"/>
        <w:spacing w:after="0" w:line="283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общая инфраструктура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магазины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кафе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аптеки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автостоянка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детские площадки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зоны отдыха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гостевой паркинг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80" w:hanging="360"/>
        <w:spacing w:after="0" w:line="284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качественное минимальное наполнение квартир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радиаторы отопления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входные деревянные двери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остекление окон и лоджий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1900" w:h="16840" w:orient="portrait"/>
          <w:cols w:equalWidth="0" w:num="1">
            <w:col w:w="9620"/>
          </w:cols>
          <w:pgMar w:left="1440" w:top="1114" w:right="844" w:bottom="837" w:gutter="0" w:footer="0" w:header="0"/>
        </w:sectPr>
      </w:pPr>
    </w:p>
    <w:p>
      <w:pPr>
        <w:ind w:left="980" w:hanging="360"/>
        <w:spacing w:after="0" w:line="294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мере заселения вновь выстроенного микрорайона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будет пущен общественный транспорт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маршрутное такси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620"/>
        <w:spacing w:after="0" w:line="294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безопасность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охраняемая территория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620" w:right="2840"/>
        <w:spacing w:after="0" w:line="293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использование новейших технологий возведения домов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невысокие затраты на обслуживание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80" w:hanging="360"/>
        <w:spacing w:after="0" w:line="284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выбор площадей от небольших до возможности объединения квартир по горизонтали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80" w:hanging="360"/>
        <w:spacing w:after="0" w:line="284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удобные схемы оплаты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беспроцентная рассрочка платежей до конца строительства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скидки при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100%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оплате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20"/>
        <w:spacing w:after="0" w:line="294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 небольшая общая стоимость квартир за счет бюджетных планировочных решений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Анализ конкурентов</w:t>
      </w:r>
    </w:p>
    <w:p>
      <w:pPr>
        <w:spacing w:after="0" w:line="6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Любой привлекательный и быстрорастущий сегмент рынка не сможет сколь угодно долго обеспечивать высокую рентабельность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он также окажется интересен как для прямых конкурентов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так и для производителей продуктов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заменителей вашего товара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Увеличится ли предложение со стороны действующих конкурентов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войдут ли на рынок новые игроки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и как это повлияет на продажи компании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Перечислите категории компаний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являющихся вашими соперниками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Какие их сильные и слабые стороны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Оценивая конкурентов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стоит обратить внимание на факторы потребительского восприятия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Это то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что видят клиенты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Какие услуги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особенности компании привлекают или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наоборот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отталкивают клиентов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К этой категории относятся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цена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качество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уровень обслуживания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социальная роль компании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Факторы внутренней деятельности компании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Это то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что клиенты не видят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Какие аспект деятельности конкурентов могут усилить или ослабить их положение на рынке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?</w:t>
      </w:r>
    </w:p>
    <w:p>
      <w:pPr>
        <w:jc w:val="both"/>
        <w:ind w:left="260" w:firstLine="2"/>
        <w:spacing w:after="0" w:line="242" w:lineRule="auto"/>
        <w:tabs>
          <w:tab w:leader="none" w:pos="59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этой категории относятся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трудовые затраты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маркетинговые и экспертные расходы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расположение компании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доступ к поставщикам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стратегическое партнерство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Определите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какие компании занимают самые крупные доли рынка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Это наиболее важные конкуренты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поскольку они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:</w:t>
      </w:r>
    </w:p>
    <w:p>
      <w:pPr>
        <w:ind w:left="980" w:hanging="358"/>
        <w:spacing w:after="0"/>
        <w:tabs>
          <w:tab w:leader="none" w:pos="980" w:val="left"/>
        </w:tabs>
        <w:numPr>
          <w:ilvl w:val="1"/>
          <w:numId w:val="15"/>
        </w:numPr>
        <w:rPr>
          <w:rFonts w:ascii="Symbol" w:cs="Symbol" w:eastAsia="Symbol" w:hAnsi="Symbol"/>
          <w:sz w:val="24"/>
          <w:szCs w:val="24"/>
          <w:color w:val="000080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задают стандарты товаров или услуг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;</w:t>
      </w:r>
    </w:p>
    <w:p>
      <w:pPr>
        <w:ind w:left="980" w:hanging="358"/>
        <w:spacing w:after="0" w:line="239" w:lineRule="auto"/>
        <w:tabs>
          <w:tab w:leader="none" w:pos="980" w:val="left"/>
        </w:tabs>
        <w:numPr>
          <w:ilvl w:val="1"/>
          <w:numId w:val="15"/>
        </w:numPr>
        <w:rPr>
          <w:rFonts w:ascii="Symbol" w:cs="Symbol" w:eastAsia="Symbol" w:hAnsi="Symbol"/>
          <w:sz w:val="24"/>
          <w:szCs w:val="24"/>
          <w:color w:val="000080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оказывают существенное влияние на представления потребителей о товарах или услугах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;</w:t>
      </w:r>
    </w:p>
    <w:p>
      <w:pPr>
        <w:spacing w:after="0" w:line="1" w:lineRule="exact"/>
        <w:rPr>
          <w:rFonts w:ascii="Symbol" w:cs="Symbol" w:eastAsia="Symbol" w:hAnsi="Symbol"/>
          <w:sz w:val="24"/>
          <w:szCs w:val="24"/>
          <w:color w:val="000080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1"/>
          <w:numId w:val="15"/>
        </w:numPr>
        <w:rPr>
          <w:rFonts w:ascii="Symbol" w:cs="Symbol" w:eastAsia="Symbol" w:hAnsi="Symbol"/>
          <w:sz w:val="24"/>
          <w:szCs w:val="24"/>
          <w:color w:val="000080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тратят приличные средства на поддержание своей доли рынка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;</w:t>
      </w:r>
    </w:p>
    <w:p>
      <w:pPr>
        <w:ind w:left="980" w:hanging="358"/>
        <w:spacing w:after="0" w:line="239" w:lineRule="auto"/>
        <w:tabs>
          <w:tab w:leader="none" w:pos="980" w:val="left"/>
        </w:tabs>
        <w:numPr>
          <w:ilvl w:val="1"/>
          <w:numId w:val="15"/>
        </w:numPr>
        <w:rPr>
          <w:rFonts w:ascii="Symbol" w:cs="Symbol" w:eastAsia="Symbol" w:hAnsi="Symbol"/>
          <w:sz w:val="24"/>
          <w:szCs w:val="24"/>
          <w:color w:val="000080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могут позволить себе ценовой демпинг для удержания рыночной доли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260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Перечисляя собственные конкурентные преимущества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описывайте их как можно подробнее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Конечно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проще всего декларировать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что вы предлагаете более качественное</w:t>
      </w:r>
    </w:p>
    <w:p>
      <w:pPr>
        <w:jc w:val="both"/>
        <w:ind w:left="260" w:firstLine="2"/>
        <w:spacing w:after="0" w:line="239" w:lineRule="auto"/>
        <w:tabs>
          <w:tab w:leader="none" w:pos="474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удобное обслуживание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но то же самое заявляют и все другие компании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Приводите конкретные примеры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почему ваша компания не только выдержит конкуренцию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но и сможет выйти из нее победителем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Перечислите потенциальных будущих конкурентов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Основными конкурентами при строительстве жилого комплекса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ХХХ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являются крупные строительные нижегородские компании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работающие в том же ценовом сегменте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и рассматриваемое в данном бизнес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плане жилье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Квартиры той же ценовой категории предлагаются к продаже в южной части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N,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центральной его части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Однако большинство рассматриваемых домов будет сдано в конце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2007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начале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2008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соответственно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2008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 началу реализации квартир в жилом комплексе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ХХХ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предложения конкурентов будут существенно ограничены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40" w:orient="portrait"/>
          <w:cols w:equalWidth="0" w:num="1">
            <w:col w:w="9620"/>
          </w:cols>
          <w:pgMar w:left="1440" w:top="1131" w:right="844" w:bottom="1440" w:gutter="0" w:footer="0" w:header="0"/>
        </w:sectPr>
      </w:pPr>
    </w:p>
    <w:p>
      <w:pPr>
        <w:jc w:val="both"/>
        <w:ind w:left="26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Кроме того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предложение квартир в районе реки значительно выигрывает за счет местоположения жилого комплекса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удобной архитектуры и интересных проектных решений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Потребитель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несомненно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отдаст предпочтение единому социальному окружению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чистым охраняемым подъездам и благоустроенной территории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Стоимость квартир в жилом комплексе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ХХХ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находится в том же ценовом сегменте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и квартиры на рынке коттеджной недвижимости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N.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Близость к центру города и расположение комплекса на берегу реки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делают привлекательными инвестиции в данное жилье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Средняя цена за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 середину октября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2007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этом сегменте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34 500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55" w:lineRule="auto"/>
        <w:tabs>
          <w:tab w:leader="none" w:pos="562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учетом годового и двухгодичного коэффициента роста средняя стоимость одного квадратного метра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2008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этом районе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пессимистичным прогнозам составит около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37 000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кв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оптимистичным прогнозам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около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43 000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Описание жилого комплекса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Приведите подробное описание объекта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ов недвижимости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предлагаемых для реализации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Опишите местоположение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удаленность от ближайшего города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комплекс жилых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нежилых строений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предполагаемую инфраструктуру внутри жилого комплекса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наличие земельного участка и 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Потенциальный инвестор должен понять привлекательность вложения денежных средств в проект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Жилой комплекс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ХХХ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это новый тип современного жилья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благоустроенной территорией и необходимой инфраструктурой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Квартиры в микрорайоне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ХХХ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будут уступать современным новостройкам по комфорту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условиям для работы и отдыха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инфраструктура территории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инфраструктуре городских кварталов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Построенное в рамках проекта жилье будет соответствовать потребностям рынка при стоимости реализации одного квадратного метра 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8–10%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дешевле аналогичного жилья в близлежащих микрорайонах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 этом очевидным преимуществом жилого комплекса является его расположение в зоне отдыха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берегу реки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Дома будут находиться в зеленой зоне с благоприятной экологией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гарантирует будущим жителям чистый воздух и тишину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безопасности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экологии и условиям для проживания в жилом комплексе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ХХХ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будет заметно превосходить окружающие дома в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N.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Первостепенной задачей при организации строительного процесса в области качества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44" w:lineRule="auto"/>
        <w:tabs>
          <w:tab w:leader="none" w:pos="974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ХХХ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считает соблюдение соответствия возводимых зданий современным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требованиям рынка жилья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строгое соответствие строительным нормам и правилам и разработанной проектно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сметной документации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Жилой комплекс предлагается выполнить в поперечной несущей схеме на расширенном шаге диафрагм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перекрытиями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ЖБИ плитами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Высота этажей в чистоте принята равной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2,7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Наружные стены будут возведены с использованием кирпичной кладки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Перегородки выполняются из газосиликатных блоков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Заполнение оконных проемов предусматривается с использованием пластиковых стеклопакетов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Наружный фасад решен вентилируемым с облицовкой керамическим кирпичом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40" w:orient="portrait"/>
          <w:cols w:equalWidth="0" w:num="1">
            <w:col w:w="9620"/>
          </w:cols>
          <w:pgMar w:left="1440" w:top="1114" w:right="844" w:bottom="1440" w:gutter="0" w:footer="0" w:header="0"/>
        </w:sectPr>
      </w:pPr>
    </w:p>
    <w:p>
      <w:pPr>
        <w:jc w:val="both"/>
        <w:ind w:left="26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Обязательным условием при реализации проекта будет использование строительных материалов высокого качества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применение новых технологий при строительстве малоэтажных жилых домов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Объект инвестирования будет возведен в короткие сроки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делает его высоко ликвидным продуктом на рынке жилья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Планируемая площадь квартир с учетом лоджий и балконов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Площадь коммерческих площадей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4500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Предусмотрена секционная планировка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квартиры на этаже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первом этаже предусмотрены торговые площади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своем составе комплекс имеет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470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квартир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 них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30%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однокомнатных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40%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двухкомнатных квартиры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30%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трехкомнатных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расчетное число жителей комплекса составляет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 – 1,5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человек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Квартиры сдаются в эксплуатацию со свободной планировкой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установленными качественными стеклопакетами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радиаторами отопления и входными дверьми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Места общего пользования в домах будут отделаны с применением современных материалов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Проектом предусмотрен наземный гостевой паркинг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Благоустройство территории включает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620" w:right="1300"/>
        <w:spacing w:after="0" w:line="32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площадки для игр детей дошкольного и младшего школьного возраста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площадки для отдыха взрослых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озеленение внутридворовой территории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посадка зеленых насаждений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устройство газонов и цветников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освещение территории двора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ind w:left="980" w:hanging="360"/>
        <w:spacing w:after="0" w:line="284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размещение элементов и малых архитектурных форм на детской спортивно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игровой площадке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Описание земельного участка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Земельный участок площадью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23,3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отведенный под строительство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расположен в районе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N.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расстоянии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метров в юго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восточном направлении расположена территория дачных участков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Существующая железнодорожная линия расположена на расстоянии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метров в южном направлении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перспективе предусматривается возведение звукопоглощающего щита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Отведенный участок под размещение жилой застройки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имеет следующие планировочные ограничения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620" w:right="4740"/>
        <w:spacing w:after="0" w:line="300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севера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 расстоянии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востока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лесной массив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запада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удобный подъезд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620"/>
        <w:spacing w:after="0" w:line="28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с юга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существующие энергосети и газоснабжения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260" w:firstLine="2"/>
        <w:spacing w:after="0" w:line="242" w:lineRule="auto"/>
        <w:tabs>
          <w:tab w:leader="none" w:pos="591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время территория свободна от застройки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Рельеф участка ровный с понижением в восточном направлении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Ценные зеленые насаждения на участке отсутствуют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Месторасположение данного участка обеспечивает удобные связи с транспортными и пешеходными коммуникациями города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мере заселения вновь выстроенного микрорайона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будет пущен общественный транспорт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маршрутное такси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Участок сухой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рельефом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способствующим удобству подъезда к территории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трассировке дорог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озеленению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отводу атмосферных и сточных вод с территории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 участке строительства планируется размещение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5-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ти этажных жилых домов с помещениями общественного назначения на первых этажах площадью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4500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открытых парковок автотранспорта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площадок для отдыха населения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хозяйственных площадок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Предусматривается озеленение и благоустройство прибрежной зоны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40" w:orient="portrait"/>
          <w:cols w:equalWidth="0" w:num="1">
            <w:col w:w="9620"/>
          </w:cols>
          <w:pgMar w:left="1440" w:top="1114" w:right="844" w:bottom="1440" w:gutter="0" w:footer="0" w:header="0"/>
        </w:sect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План маркетинга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Маркетинговый план базируется на выводах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сделанных по результатам анализа внешней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отрасль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рынки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конкуренты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и внутренней среды компании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Чтобы оставаться на плаву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нужно привлекать и удерживать клиентов и не снижать уровень продаж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Поэтому этот раздел вашего бизнес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плана может быть внимательно изучен потенциальными инвесторами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Им нужно убедиться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что ваши методы маркетинга и сбыта адекватны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а количество и качество персонала в состоянии поддерживать необходимый для окупаемости уровень продаж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274" w:lineRule="auto"/>
        <w:tabs>
          <w:tab w:leader="none" w:pos="466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маркетинговом плане необходимо раскрыть меры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позволяющие достичь целей проекта и создающие тем самым ценность для потребителей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Маркетинг каждой компании несет в себе определенную идею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Наиболее эффективны послания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отражающие стратегическую позицию компании на рынке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то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чем вы всячески стараетесь выделить себя из конкурентов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Опишите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как вы донесете до потребителей маркетинговую идею вместе с информацией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41" w:lineRule="auto"/>
        <w:tabs>
          <w:tab w:leader="none" w:pos="490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вашей компании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Какими маркетинговыми средствами вы планируете донести свое послание до клиентов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реклама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рассылка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выставки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мероприятия соответствующих отраслевых объединений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С какой периодичностью и каковы расходы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Поскольку все маркетинговые мероприятия стоят денег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тщательно планируйте расходы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Убедитесь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что выбранные вами маркетинговые средства соответствуют типу и размеру вашего бизнеса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26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Какие дополнительными стратегиями маркетинга и сбыта вы используете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совместная реклама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дистрибьюторские или лицензионные соглашения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другие виды партнерств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Опишите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кто осуществляет продажи в вашей компании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что является главным в работе вашей команды по продажам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Позиционирование проекта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Потенциальными покупателями предлагаемого жилья являются одинокие мужчины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женщины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бездетные семьи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семьи с одним ребенком и более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Основная часть покупателей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больше половины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возрасте от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связи с этим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планируется продвижение комплекса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ХХХ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микрорайона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идеального для молодой семьи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стартовой ступени в новую жизнь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 первой собственной квартире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Маркетинговая стратегия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Выход компании на рынок жилья среднего класса с обособленным по месторасположению предложением жилья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Стратегия предполагает диверсификацию бизнеса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 есть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присутствие компании на нескольких разных сегментах рынка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бизнес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элитный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Продвижение товара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продвижения комплекса выбрано название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ХХХ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Преимущества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расположение в зоне отдыха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берегу реки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Идеи для рекламного ролика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акцент на экологически чистом районе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удаленность от промышленных предприятий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подчеркнуть возможность приобретения квартир</w:t>
      </w:r>
    </w:p>
    <w:p>
      <w:pPr>
        <w:sectPr>
          <w:pgSz w:w="11900" w:h="16840" w:orient="portrait"/>
          <w:cols w:equalWidth="0" w:num="1">
            <w:col w:w="9620"/>
          </w:cols>
          <w:pgMar w:left="1440" w:top="1104" w:right="844" w:bottom="1005" w:gutter="0" w:footer="0" w:header="0"/>
        </w:sectPr>
      </w:pPr>
    </w:p>
    <w:p>
      <w:pPr>
        <w:jc w:val="both"/>
        <w:ind w:left="26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небольших площадей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высоких темпах строительства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дом за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доступности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квартира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карману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»).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первом этапе строительства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после возведения ограждения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предполагается снять с продажи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забронировать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25-30%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квартир с самыми лучшими видами с целью последующей продажи по более высокой цене и создания ажиотажа среди потенциальных покупателей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более поздних этапах предлагается сделать несколько квартир под ключ с обыгрыванием в интерьере возможностей нестандартного остекления окон и лоджий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Рекомендуемая стартовая стоимость квадратного метра квартир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-28000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увеличением пропорционально росту конструктивна до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34000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500" w:hanging="238"/>
        <w:spacing w:after="0"/>
        <w:tabs>
          <w:tab w:leader="none" w:pos="50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качестве рекламной стратегии выбрано импульсное размещение рекламы активная фаза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1-2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месяца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поддерживающая фаза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2-3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месяца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Проектом предусматривается акцентирование продвижения товара посредством каналов личной коммуникации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позволяют осуществить обратную связь и дают возможность для личного обращения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Особое значение этот способ взаимодействия с покупателем приобретает при продаже недвижимости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категории товара с высокой стоимостью и большой мерой доверия к строительной компании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 каналам личной коммуникации в проекте относятся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620" w:right="1940"/>
        <w:spacing w:after="0" w:line="303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личные встречи в офисе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презентации проектов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выставках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выезды менеджеров на строительную площадку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620" w:right="240"/>
        <w:spacing w:after="0" w:line="32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выездные презентации объектов в крупных компаниях города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позволят наладить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личные контакты с потенциальными покупателями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электронная переписка с потенциальными клиентами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обратная связь на сайте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телефонные переговоры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Продвижение товара с использованием наружной рекламы предполагается 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4-5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поверхностях размером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размещенных по городу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плюс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виадук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Такое размещение даст возможность для охвата большой аудитории за небольшое количество времени за счет высокой частоты просмотров рекламного объявления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этом наружная реклама уступает только телевидению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Потенциальное воздействие наружной рекламы на аудиторию достаточно велико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 как за счет эффектного дизайна и большого размера рекламного объявления его содержание хорошо запоминается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Исследования показывают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наружная реклама дает максимальное количество звонков входящей активности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Особое внимание будет уделено подбору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поверхности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самыми хорошими видовыми характеристиками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которой будет размещаться реклама жилого комплекса в течении всего периода строительства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качестве указателя будет подобран виадук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показывающий направление движения до жилого комплекса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Предполагается размещение рекламных стендов на строительной площадке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Такие стенды хорошо привлекают внимание потенциальных клиентов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идентифицируют застройщика и возводимый объект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Варианты рекламных конструкций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стенды с логотипом компании и телефонами отдела продаж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паспорт объекта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Реклама в прессе предполагает использование еженедельников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 рук в руки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Недвижимость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».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Через указанные медианосители появится возможность донести до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потребителя большее количество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чем посредством наружной и радиорекламы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Кроме того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пресса позволит более дифференцированно подойти к аудитории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Выбор указанных изданий обусловлен их направленностью на деловых людей и на более широкую аудиторию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40" w:orient="portrait"/>
          <w:cols w:equalWidth="0" w:num="1">
            <w:col w:w="9620"/>
          </w:cols>
          <w:pgMar w:left="1440" w:top="1114" w:right="844" w:bottom="605" w:gutter="0" w:footer="0" w:header="0"/>
        </w:sectPr>
      </w:pPr>
    </w:p>
    <w:p>
      <w:pPr>
        <w:jc w:val="both"/>
        <w:ind w:left="26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Реклама на радио предполагает размещение блоков 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FM-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радиостанции с аудиторией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55%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женщин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45%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мужчин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; 80%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слушателей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возраст до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40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; 31%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слушателей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высшим образованием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 27%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слушателей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руководители и специалисты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 26%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обеспеченные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60%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 средним доходом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Реклама на радио имеет следующие преимущества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left="980" w:hanging="360"/>
        <w:spacing w:after="0" w:line="294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радио слушают все категории населения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мужчины и женщины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взрослые и молодежь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руководители и специалисты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620"/>
        <w:spacing w:after="0" w:line="294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большую часть дня аудитория радио превосходит по количеству аудиторию 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80" w:hanging="360"/>
        <w:spacing w:after="0" w:line="284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частота трансляций рекламы на радио обеспечивает большой охват аудитории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добиваясь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таким образом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высокой эффективности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80" w:hanging="360"/>
        <w:spacing w:after="0" w:line="284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радио позволяет разместить рекламу всего за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1-2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дня и корректировать на протяжении всей рекламной кампании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20"/>
        <w:spacing w:after="0" w:line="28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радио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c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равнительно недорогой рекламный носитель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260" w:firstLine="2"/>
        <w:spacing w:after="0" w:line="241" w:lineRule="auto"/>
        <w:tabs>
          <w:tab w:leader="none" w:pos="499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качестве формы размещения выбраны спонсорские пакеты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прогнозы погоды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новости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дают выигрыш по цене и по количеству выходов по сравнению с точечным размещением рекламных роликов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Кроме того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новости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 и прогнозы погоды являются притягательными для радиослушателей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 как содержат в себе необходимую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оперативную информацию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ind w:left="26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полиграфической продукции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будет разработан фирменный стиль и выпущена следующая полиграфическая продукция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620"/>
        <w:spacing w:after="0" w:line="32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общая фирменная папка ООО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ХХХ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»;</w:t>
      </w:r>
    </w:p>
    <w:p>
      <w:pPr>
        <w:ind w:left="980" w:hanging="360"/>
        <w:spacing w:after="0" w:line="279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информационные листовки по жилому комплексу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ХХХ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схема района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придомовая территория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план этажа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Указанная полиграфическая продукция будет необходима при продажах в качестве раздаточного материала для клиентов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Инвестиционный план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Данный раздел описывает планируемую деятельность и вместе с прогнозом сбыта является основанием для финансовых расчетов проекта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Здесь необходимо описать технологический процесс производства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в котором будут приведены стадии и этапы производства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с учетом продолжительности производства на каждом этапе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то есть производственного цикла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перечень привлекаемых материалов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сырья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и стоимости дополнительных издержек в расчете на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единицу продукции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что позволит определить затраты на производство и сформировать себестоимость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Здесь также должен быть учтен расход материалов на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единицу продукции и размер процента потерь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отходов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Должен быть описан объем и график производства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который вместе с описанием технологического процесса позволит сформировать План закупок сырья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В плане закупок сырья будет описан перечень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с указанием цены и единиц измерения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материалов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сырья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обязательно объемы приобретения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Необходимо учесть изменения цены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рост или падение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сезонные изменения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на материалы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условия поставок и оплаты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Необходимо сформировать план общих издержек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В этом плане указывается периодичность и стоимость каждой издержки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изменение стоимости издержки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условия оплаты издержек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 строительные и прочие производственные работы в рамках данного проекта предполагается выполнять силами сторонних подрядных организаций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связи с этим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ectPr>
          <w:pgSz w:w="11900" w:h="16840" w:orient="portrait"/>
          <w:cols w:equalWidth="0" w:num="1">
            <w:col w:w="9620"/>
          </w:cols>
          <w:pgMar w:left="1440" w:top="1114" w:right="844" w:bottom="550" w:gutter="0" w:footer="0" w:header="0"/>
        </w:sectPr>
      </w:pPr>
    </w:p>
    <w:p>
      <w:pPr>
        <w:jc w:val="both"/>
        <w:ind w:left="260" w:right="20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производственный план настоящего проекта имеет обобщающий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организационный характер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both"/>
        <w:ind w:left="260" w:right="20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реализации проекта необходимо привлечение финансовых ресурсов для выполнения следующих видов строительно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монтажных и отделочных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стоимость которых приведена в таблице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1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9"/>
        </w:trPr>
        <w:tc>
          <w:tcPr>
            <w:tcW w:w="36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Название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Длительнос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Дата начала</w:t>
            </w:r>
          </w:p>
        </w:tc>
        <w:tc>
          <w:tcPr>
            <w:tcW w:w="1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Дата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Стоимость</w:t>
            </w:r>
          </w:p>
        </w:tc>
      </w:tr>
      <w:tr>
        <w:trPr>
          <w:trHeight w:val="247"/>
        </w:trPr>
        <w:tc>
          <w:tcPr>
            <w:tcW w:w="3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ть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окончания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4"/>
        </w:trPr>
        <w:tc>
          <w:tcPr>
            <w:tcW w:w="3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2"/>
        </w:trPr>
        <w:tc>
          <w:tcPr>
            <w:tcW w:w="3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Предпроектные работы и услуги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92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01.01.2008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01.04.2008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6 550</w:t>
            </w:r>
          </w:p>
        </w:tc>
      </w:tr>
      <w:tr>
        <w:trPr>
          <w:trHeight w:val="193"/>
        </w:trPr>
        <w:tc>
          <w:tcPr>
            <w:tcW w:w="3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Подготовка проектно-сметной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61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01.01.2008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01.03.2008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5 570</w:t>
            </w:r>
          </w:p>
        </w:tc>
      </w:tr>
      <w:tr>
        <w:trPr>
          <w:trHeight w:val="221"/>
        </w:trPr>
        <w:tc>
          <w:tcPr>
            <w:tcW w:w="3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документации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3"/>
        </w:trPr>
        <w:tc>
          <w:tcPr>
            <w:tcW w:w="3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Подготовительные работы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92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01.01.2008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01.04.2008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26 208</w:t>
            </w:r>
          </w:p>
        </w:tc>
      </w:tr>
      <w:tr>
        <w:trPr>
          <w:trHeight w:val="20"/>
        </w:trPr>
        <w:tc>
          <w:tcPr>
            <w:tcW w:w="3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3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Строительство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912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01.01.2008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30.06.2010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637 452</w:t>
            </w:r>
          </w:p>
        </w:tc>
      </w:tr>
      <w:tr>
        <w:trPr>
          <w:trHeight w:val="239"/>
        </w:trPr>
        <w:tc>
          <w:tcPr>
            <w:tcW w:w="3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Строительно-монтажные работы ниже 0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427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01.01.2008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02.03.2009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60 477</w:t>
            </w:r>
          </w:p>
        </w:tc>
      </w:tr>
      <w:tr>
        <w:trPr>
          <w:trHeight w:val="20"/>
        </w:trPr>
        <w:tc>
          <w:tcPr>
            <w:tcW w:w="3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3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Строительно-монтажные работы выше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488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31.08.2008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31.12.2009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202 650</w:t>
            </w:r>
          </w:p>
        </w:tc>
      </w:tr>
      <w:tr>
        <w:trPr>
          <w:trHeight w:val="221"/>
        </w:trPr>
        <w:tc>
          <w:tcPr>
            <w:tcW w:w="3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"0"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3"/>
        </w:trPr>
        <w:tc>
          <w:tcPr>
            <w:tcW w:w="3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Работы по газификации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152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01.05.2008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29.09.2008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30 456</w:t>
            </w:r>
          </w:p>
        </w:tc>
      </w:tr>
      <w:tr>
        <w:trPr>
          <w:trHeight w:val="20"/>
        </w:trPr>
        <w:tc>
          <w:tcPr>
            <w:tcW w:w="3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3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Работы по электроснабжению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182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02.03.2008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30.08.2008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91 800</w:t>
            </w:r>
          </w:p>
        </w:tc>
      </w:tr>
      <w:tr>
        <w:trPr>
          <w:trHeight w:val="236"/>
        </w:trPr>
        <w:tc>
          <w:tcPr>
            <w:tcW w:w="3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Работы по водоснабжению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210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02.03.2008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27.09.2008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37 430</w:t>
            </w:r>
          </w:p>
        </w:tc>
      </w:tr>
      <w:tr>
        <w:trPr>
          <w:trHeight w:val="233"/>
        </w:trPr>
        <w:tc>
          <w:tcPr>
            <w:tcW w:w="3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Работы по канализированию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244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02.03.2008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31.10.2008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38 000</w:t>
            </w:r>
          </w:p>
        </w:tc>
      </w:tr>
      <w:tr>
        <w:trPr>
          <w:trHeight w:val="20"/>
        </w:trPr>
        <w:tc>
          <w:tcPr>
            <w:tcW w:w="3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3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Работы по благоустройству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01.06.2008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17.12.2008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63 502</w:t>
            </w:r>
          </w:p>
        </w:tc>
      </w:tr>
      <w:tr>
        <w:trPr>
          <w:trHeight w:val="221"/>
        </w:trPr>
        <w:tc>
          <w:tcPr>
            <w:tcW w:w="3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территории_1 этап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88"/>
        </w:trPr>
        <w:tc>
          <w:tcPr>
            <w:tcW w:w="3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Работы по благоустройству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395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01.06.2009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30.06.2010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61 500</w:t>
            </w:r>
          </w:p>
        </w:tc>
      </w:tr>
      <w:tr>
        <w:trPr>
          <w:trHeight w:val="222"/>
        </w:trPr>
        <w:tc>
          <w:tcPr>
            <w:tcW w:w="3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территории_2 этап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7"/>
        </w:trPr>
        <w:tc>
          <w:tcPr>
            <w:tcW w:w="3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Отделочные работы и остекление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03.03.2009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27.12.2009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51 637</w:t>
            </w:r>
          </w:p>
        </w:tc>
      </w:tr>
      <w:tr>
        <w:trPr>
          <w:trHeight w:val="269"/>
        </w:trPr>
        <w:tc>
          <w:tcPr>
            <w:tcW w:w="3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Итого: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675 780,00</w:t>
            </w:r>
          </w:p>
        </w:tc>
      </w:tr>
    </w:tbl>
    <w:p>
      <w:pPr>
        <w:spacing w:after="0" w:line="257" w:lineRule="exact"/>
        <w:rPr>
          <w:sz w:val="20"/>
          <w:szCs w:val="20"/>
          <w:color w:val="auto"/>
        </w:rPr>
      </w:pPr>
    </w:p>
    <w:p>
      <w:pPr>
        <w:jc w:val="both"/>
        <w:ind w:left="260" w:right="20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Полную подготовку и оборудование строительной площадки планируется осуществить в течение января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февраля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2008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Проектная документация находится в завершающей стадии разработки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Все необходимые предварительные согласования проведены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jc w:val="both"/>
        <w:ind w:left="260" w:right="20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Анализ структуры производственных расходов по элементам затрат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показывает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основная доля затрат при строительстве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(30%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101,7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млн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будет приходиться на строительно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монтажные работы выше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нулевого цикла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Данные работы являются основными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 как формируют непосредственный конструктив домов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которых будут проживать потенциальные покупатели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jc w:val="both"/>
        <w:ind w:left="260" w:right="200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по сооружению и подключению наружных инженерных сетей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включая энергоснабжение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водоснабжение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водоотведение и газификацию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совокупности достигнут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28%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всех производственных затрат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(99,6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млн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проекте учтены месторасположение участка для строительства комплекса и все соответствующие ему работы по прокладке и подключению всех инженерных коммуникаций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проведены разрешительные процедуры и согласования с эксплуатирующими организациями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jc w:val="both"/>
        <w:ind w:left="260" w:right="20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электроснабжения планируется от существующих электрических сетей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Водоснабжение и канализирование будет осуществлено от проектируемых в настоящее время сетей городского водопровода и канализации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Отвод талых и дождевых вод будет производиться в наружные сети ливневой канализации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8" w:lineRule="exact"/>
        <w:rPr>
          <w:sz w:val="20"/>
          <w:szCs w:val="20"/>
          <w:color w:val="auto"/>
        </w:rPr>
      </w:pPr>
    </w:p>
    <w:p>
      <w:pPr>
        <w:jc w:val="both"/>
        <w:ind w:left="260" w:right="20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Значительную долю расходов составят работы по благоустройству территории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(19%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всех расходов или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64,4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млн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включающую озеленение и благоустройство прибрежной зоны у реки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40" w:orient="portrait"/>
          <w:cols w:equalWidth="0" w:num="1">
            <w:col w:w="9820"/>
          </w:cols>
          <w:pgMar w:left="1440" w:top="1114" w:right="644" w:bottom="1088" w:gutter="0" w:footer="0" w:header="0"/>
        </w:sectPr>
      </w:pPr>
    </w:p>
    <w:p>
      <w:pPr>
        <w:ind w:left="26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Проект предусматривает статью производственных затрат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непредвиденные расходы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которой запланированы неучтенные расходы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связанные с производственным процессом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248" w:lineRule="auto"/>
        <w:tabs>
          <w:tab w:leader="none" w:pos="465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размере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2%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 общей суммы производственных затрат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Сметная стоимость указанных расходов составляет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млн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весь срок реализации проекта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Календарный график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46" w:lineRule="auto"/>
        <w:tabs>
          <w:tab w:leader="none" w:pos="712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календарном графике представьте плановую последовательность этапов строительства и сопутствующих реализации проекта этапов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График этапов позволит понять в какой период какие работы по проекту проводятся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соответственно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определить необходимую сумму затрат в конкретный период и на весь проект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Необходимо так же описать какой объем работ по проекту уже выполнен на момент создания бизнес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плана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если проект оценивается не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с нуля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»).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Календарный график производства строительных работ на период реализации проекта приведен 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приложении №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 бизнес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Строительство жилого комплекса организуется на базе нового предприятия ООО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которое будет выступать заказчиком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застройщиком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Все строительно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монтажные работы будут осуществляться организациями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подрядчиками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ООО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ХХХ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будет осуществлять функции по управлению инвестиционным проектом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включая всю организацию продаж жилья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1"/>
          <w:numId w:val="31"/>
        </w:numP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Объем сбыта</w:t>
      </w:r>
    </w:p>
    <w:p>
      <w:pPr>
        <w:spacing w:after="0" w:line="123" w:lineRule="exact"/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</w:pPr>
    </w:p>
    <w:p>
      <w:pPr>
        <w:jc w:val="both"/>
        <w:ind w:left="260" w:firstLine="2"/>
        <w:spacing w:after="0" w:line="251" w:lineRule="auto"/>
        <w:tabs>
          <w:tab w:leader="none" w:pos="472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плане продаж необходимо отразить объем сбыта по видам услуг на протяжении всего периода проекта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Детально прописать по вариантам продаж объем продаваемых услуг ежемесячно с учетом сезонности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и планируемыми увеличениями продаж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обоснованным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например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новыми производственными мощностями и дополнительной рекламой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Представляемый инвестиционный проект предполагает строительство жилого комплекса общей площадью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 в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N.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Жилой массив будет состоять из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х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этажных домов с общим количеством квартир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560,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09" w:lineRule="exact"/>
        <w:rPr>
          <w:sz w:val="20"/>
          <w:szCs w:val="20"/>
          <w:color w:val="auto"/>
        </w:rPr>
      </w:pPr>
    </w:p>
    <w:p>
      <w:pPr>
        <w:jc w:val="both"/>
        <w:ind w:left="620" w:right="4740"/>
        <w:spacing w:after="0" w:line="299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однокомнатные квартиры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170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штук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двухкомнатные квартиры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220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штук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трехкомнатные квартиры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170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штук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480" w:hanging="218"/>
        <w:spacing w:after="0"/>
        <w:tabs>
          <w:tab w:leader="none" w:pos="480" w:val="left"/>
        </w:tabs>
        <w:numPr>
          <w:ilvl w:val="0"/>
          <w:numId w:val="3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плане продаж представлен график продаж квартир в течение проекта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7"/>
        </w:trPr>
        <w:tc>
          <w:tcPr>
            <w:tcW w:w="2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Продукт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Вариант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изм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2008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год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2009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год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1-6.2010</w:t>
            </w:r>
          </w:p>
        </w:tc>
      </w:tr>
      <w:tr>
        <w:trPr>
          <w:trHeight w:val="529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1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комнатные квартиры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штук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38,00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79,00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53,00</w:t>
            </w:r>
          </w:p>
        </w:tc>
      </w:tr>
      <w:tr>
        <w:trPr>
          <w:trHeight w:val="249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06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2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комнатные квартиры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штук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36,00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115,00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69,00</w:t>
            </w:r>
          </w:p>
        </w:tc>
      </w:tr>
      <w:tr>
        <w:trPr>
          <w:trHeight w:val="264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06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3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комнатные квартиры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штук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33,00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81,00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56,00</w:t>
            </w:r>
          </w:p>
        </w:tc>
      </w:tr>
      <w:tr>
        <w:trPr>
          <w:trHeight w:val="249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620"/>
          </w:cols>
          <w:pgMar w:left="1440" w:top="1114" w:right="844" w:bottom="878" w:gutter="0" w:footer="0" w:header="0"/>
        </w:sectPr>
      </w:pP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основе проведенного маркетингового анализа в проекте разработан график продаж квартир в жилом комплексе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применением коэффициента увеличения стоимости одного квадратного метра с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28000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рублей до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34000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40" w:orient="portrait"/>
          <w:cols w:equalWidth="0" w:num="1">
            <w:col w:w="9620"/>
          </w:cols>
          <w:pgMar w:left="1440" w:top="1114" w:right="844" w:bottom="878" w:gutter="0" w:footer="0" w:header="0"/>
          <w:type w:val="continuous"/>
        </w:sectPr>
      </w:pPr>
    </w:p>
    <w:p>
      <w:pPr>
        <w:jc w:val="both"/>
        <w:ind w:left="26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Цены на квартиры будут увеличиваться в зависимости от готовности строительного комплекса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58420</wp:posOffset>
            </wp:positionV>
            <wp:extent cx="5142230" cy="32715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327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Исходя из разработанного плана продаж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общий объем реализации квартир в течение срока реализации проекта запланирован на уровне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1 360,33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течение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2008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-228 727,50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течение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2009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-668 360,60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-463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240,00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тыс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детализация объема реализации в разрезе периодов и типов квартир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приведена 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приложении №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 бизнес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1"/>
          <w:numId w:val="33"/>
        </w:numP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Общие издержки</w:t>
      </w:r>
    </w:p>
    <w:p>
      <w:pPr>
        <w:spacing w:after="0" w:line="123" w:lineRule="exact"/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</w:pPr>
    </w:p>
    <w:p>
      <w:pPr>
        <w:jc w:val="both"/>
        <w:ind w:left="260" w:firstLine="2"/>
        <w:spacing w:after="0" w:line="251" w:lineRule="auto"/>
        <w:tabs>
          <w:tab w:leader="none" w:pos="579" w:val="left"/>
        </w:tabs>
        <w:numPr>
          <w:ilvl w:val="0"/>
          <w:numId w:val="33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этом разделе необходимо отразить накладные и косвенные расходы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которые напрямую не зависят от объема сбыта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Следует привести перечень издержек по наименованиям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отразить их стоимость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особенности ценообразования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динамику изменения цены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инфляцию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нестандартные налоги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сезонность цены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период платежей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26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Общие издержки по проекту выплачиваются ежемесячно в течение всего проекта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исключением рекламы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включают в себя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620"/>
        <w:spacing w:after="0" w:line="318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Арендную плату за землю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20" w:right="4000"/>
        <w:spacing w:after="0" w:line="293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Управленческо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административные издержки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Затраты на охрану объекта строительства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20" w:right="220"/>
        <w:spacing w:after="0" w:line="293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Непредвиденные расходы на строительство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неучтенные в инвестиционном плане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Расходы на рекламу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86"/>
        </w:trPr>
        <w:tc>
          <w:tcPr>
            <w:tcW w:w="2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Название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7"/>
              </w:rPr>
              <w:t>Сумма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Сумма</w:t>
            </w:r>
          </w:p>
        </w:tc>
        <w:tc>
          <w:tcPr>
            <w:tcW w:w="2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Платежи</w:t>
            </w:r>
          </w:p>
        </w:tc>
      </w:tr>
      <w:tr>
        <w:trPr>
          <w:trHeight w:val="2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(тыс. руб.)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($ US)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86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2820" w:type="dxa"/>
            <w:vAlign w:val="bottom"/>
            <w:tcBorders>
              <w:top w:val="single" w:sz="8" w:color="9AFFFF"/>
              <w:left w:val="single" w:sz="8" w:color="auto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ind w:left="1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Управление</w:t>
            </w:r>
          </w:p>
        </w:tc>
        <w:tc>
          <w:tcPr>
            <w:tcW w:w="136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8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Арендная плата за землю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96,00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0,00</w:t>
            </w: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Ежемесячно, весь проект</w:t>
            </w:r>
          </w:p>
        </w:tc>
      </w:tr>
      <w:tr>
        <w:trPr>
          <w:trHeight w:val="204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Прочие управленческие расходы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35,00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0,00</w:t>
            </w: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Ежемесячно, весь проект</w:t>
            </w:r>
          </w:p>
        </w:tc>
      </w:tr>
      <w:tr>
        <w:trPr>
          <w:trHeight w:val="159"/>
        </w:trPr>
        <w:tc>
          <w:tcPr>
            <w:tcW w:w="2820" w:type="dxa"/>
            <w:vAlign w:val="bottom"/>
            <w:tcBorders>
              <w:top w:val="single" w:sz="8" w:color="9AFFFF"/>
              <w:left w:val="single" w:sz="8" w:color="auto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ind w:left="1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Производство</w:t>
            </w:r>
          </w:p>
        </w:tc>
        <w:tc>
          <w:tcPr>
            <w:tcW w:w="136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9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Охрана объекта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90,00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0,00</w:t>
            </w: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Ежемесячно, весь проект</w:t>
            </w:r>
          </w:p>
        </w:tc>
      </w:tr>
      <w:tr>
        <w:trPr>
          <w:trHeight w:val="204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Непредвиденные расходы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200,00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0,00</w:t>
            </w: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Ежемесячно, весь проект</w:t>
            </w:r>
          </w:p>
        </w:tc>
      </w:tr>
      <w:tr>
        <w:trPr>
          <w:trHeight w:val="159"/>
        </w:trPr>
        <w:tc>
          <w:tcPr>
            <w:tcW w:w="2820" w:type="dxa"/>
            <w:vAlign w:val="bottom"/>
            <w:tcBorders>
              <w:top w:val="single" w:sz="8" w:color="9AFFFF"/>
              <w:left w:val="single" w:sz="8" w:color="auto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ind w:left="1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Маркетинг</w:t>
            </w:r>
          </w:p>
        </w:tc>
        <w:tc>
          <w:tcPr>
            <w:tcW w:w="136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8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Рекламные расходы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220,00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0,00</w:t>
            </w: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Ежемесячно, с 2 по 30 мес.</w:t>
            </w:r>
          </w:p>
        </w:tc>
      </w:tr>
    </w:tbl>
    <w:p>
      <w:pPr>
        <w:sectPr>
          <w:pgSz w:w="11900" w:h="16840" w:orient="portrait"/>
          <w:cols w:equalWidth="0" w:num="1">
            <w:col w:w="9620"/>
          </w:cols>
          <w:pgMar w:left="1440" w:top="1114" w:right="844" w:bottom="1069" w:gutter="0" w:footer="0" w:header="0"/>
        </w:sect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35"/>
        </w:numP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План по персоналу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Формирование плана по персоналу необходимо для формирования затрат на оплату труда персонала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План по персоналу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должен учитывать количество персонала по каждой должности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По персоналу следует учитывать его постепенный рост или изменение расходов на персонал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как по окладам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так и по суммарным расходам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также учитывать период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в котором происходят любые изменения в части персонала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Например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на какой период времени привлекается тот или иной персонал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или с какого периода времени происходит наращивание численности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Управленческий персонал предприятия обладает необходимой квалификацией и опытом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Предприятие возглавляет генеральный директор ООО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ХХХ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соответствии с проектом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его отсутствие функции управления будет осуществлять коммерческий директор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Также в административный персонал предприятия включаются должности главного инженера и главного бухгалтера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Офисный персонал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менеджер по продажам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инженера производственно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технического отдела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бухгалтер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составляет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единицы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26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Организационная структура управления проектом будет построена по принципу линейной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распределенной по подразделениям и функциональным обязанностям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Общая численность работников предприятия составляет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штатных единиц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Средний ежемесячный фонд оплаты труда составляет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225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9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86"/>
        </w:trPr>
        <w:tc>
          <w:tcPr>
            <w:tcW w:w="3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Должность</w:t>
            </w:r>
          </w:p>
        </w:tc>
        <w:tc>
          <w:tcPr>
            <w:tcW w:w="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Кол -во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Зарплата</w:t>
            </w:r>
          </w:p>
        </w:tc>
        <w:tc>
          <w:tcPr>
            <w:tcW w:w="2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Платежи</w:t>
            </w:r>
          </w:p>
        </w:tc>
      </w:tr>
      <w:tr>
        <w:trPr>
          <w:trHeight w:val="221"/>
        </w:trPr>
        <w:tc>
          <w:tcPr>
            <w:tcW w:w="3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(тыс. руб.)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59"/>
        </w:trPr>
        <w:tc>
          <w:tcPr>
            <w:tcW w:w="3440" w:type="dxa"/>
            <w:vAlign w:val="bottom"/>
            <w:tcBorders>
              <w:top w:val="single" w:sz="8" w:color="9AFFFF"/>
              <w:left w:val="single" w:sz="8" w:color="auto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ind w:left="1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Управление</w:t>
            </w:r>
          </w:p>
        </w:tc>
        <w:tc>
          <w:tcPr>
            <w:tcW w:w="84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9"/>
        </w:trPr>
        <w:tc>
          <w:tcPr>
            <w:tcW w:w="3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Директор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50,00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Ежемесячно, весь проект</w:t>
            </w:r>
          </w:p>
        </w:tc>
      </w:tr>
      <w:tr>
        <w:trPr>
          <w:trHeight w:val="179"/>
        </w:trPr>
        <w:tc>
          <w:tcPr>
            <w:tcW w:w="3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Коммерческий директор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45,00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Ежемесячно, весь проект</w:t>
            </w:r>
          </w:p>
        </w:tc>
      </w:tr>
      <w:tr>
        <w:trPr>
          <w:trHeight w:val="179"/>
        </w:trPr>
        <w:tc>
          <w:tcPr>
            <w:tcW w:w="3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Главный инженер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35,00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Ежемесячно, весь проект</w:t>
            </w:r>
          </w:p>
        </w:tc>
      </w:tr>
      <w:tr>
        <w:trPr>
          <w:trHeight w:val="178"/>
        </w:trPr>
        <w:tc>
          <w:tcPr>
            <w:tcW w:w="3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Главный бухгалтер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35,00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Ежемесячно, весь проект</w:t>
            </w:r>
          </w:p>
        </w:tc>
      </w:tr>
      <w:tr>
        <w:trPr>
          <w:trHeight w:val="204"/>
        </w:trPr>
        <w:tc>
          <w:tcPr>
            <w:tcW w:w="3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Бухгалтер-экономист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20,00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Ежемесячно, весь проект</w:t>
            </w:r>
          </w:p>
        </w:tc>
      </w:tr>
      <w:tr>
        <w:trPr>
          <w:trHeight w:val="159"/>
        </w:trPr>
        <w:tc>
          <w:tcPr>
            <w:tcW w:w="3440" w:type="dxa"/>
            <w:vAlign w:val="bottom"/>
            <w:tcBorders>
              <w:top w:val="single" w:sz="8" w:color="9AFFFF"/>
              <w:left w:val="single" w:sz="8" w:color="auto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ind w:left="1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Производство</w:t>
            </w:r>
          </w:p>
        </w:tc>
        <w:tc>
          <w:tcPr>
            <w:tcW w:w="84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6"/>
        </w:trPr>
        <w:tc>
          <w:tcPr>
            <w:tcW w:w="3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инженеры производственно-технического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20,00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Ежемесячно, весь проект</w:t>
            </w:r>
          </w:p>
        </w:tc>
      </w:tr>
      <w:tr>
        <w:trPr>
          <w:trHeight w:val="221"/>
        </w:trPr>
        <w:tc>
          <w:tcPr>
            <w:tcW w:w="3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отдела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59"/>
        </w:trPr>
        <w:tc>
          <w:tcPr>
            <w:tcW w:w="3440" w:type="dxa"/>
            <w:vAlign w:val="bottom"/>
            <w:tcBorders>
              <w:top w:val="single" w:sz="8" w:color="9AFFFF"/>
              <w:left w:val="single" w:sz="8" w:color="auto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ind w:left="1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Маркетинг</w:t>
            </w:r>
          </w:p>
        </w:tc>
        <w:tc>
          <w:tcPr>
            <w:tcW w:w="84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9"/>
        </w:trPr>
        <w:tc>
          <w:tcPr>
            <w:tcW w:w="3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Менеджер по продажам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20,00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Ежемесячно, весь проект</w:t>
            </w:r>
          </w:p>
        </w:tc>
      </w:tr>
    </w:tbl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1"/>
          <w:numId w:val="36"/>
        </w:numP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Финансовый план</w:t>
      </w:r>
    </w:p>
    <w:p>
      <w:pPr>
        <w:spacing w:after="0" w:line="123" w:lineRule="exact"/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</w:pPr>
    </w:p>
    <w:p>
      <w:pPr>
        <w:jc w:val="both"/>
        <w:ind w:left="260" w:firstLine="2"/>
        <w:spacing w:after="0" w:line="242" w:lineRule="auto"/>
        <w:tabs>
          <w:tab w:leader="none" w:pos="562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финансовом плане необходимо описать внешние параметры окружения проекта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инфляция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особенности налогообложения и вся информация по налогам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при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необходимости привести ставку рефинансирования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обоснование ставки дисконтирования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валютные курсы с динамикой изменения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Касаясь инфляции необходимо привести темпы инфляции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с определенной периодичностью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по видам процессов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на реализацию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на персонал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на общие или прямые издержки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Если применяется особая инфляция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отличная от общей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например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на определенный продукт реализации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то обязательно ее описать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В части налогов необходимо привести перечень налогов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ставок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в том числе и изменение ставок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условий начисления и уплаты налогов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Ставку рефинансирования Центрального Банка РФ необходимо привести в случае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если кредитование проекта осуществляется на условиях выплаты процентов с учетом ставки рефинансирования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Ставка дисконтирования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позволяющая учесть риски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возможное обесценение денежных потоков от проекта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должна быть обоснована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Если в проекте используется несколько валют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то необходимо описать валютные курсы и изменение этих курсов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</w:p>
    <w:p>
      <w:pPr>
        <w:sectPr>
          <w:pgSz w:w="11900" w:h="16840" w:orient="portrait"/>
          <w:cols w:equalWidth="0" w:num="1">
            <w:col w:w="9620"/>
          </w:cols>
          <w:pgMar w:left="1440" w:top="1104" w:right="844" w:bottom="1440" w:gutter="0" w:footer="0" w:header="0"/>
        </w:sectPr>
      </w:pPr>
    </w:p>
    <w:p>
      <w:pPr>
        <w:jc w:val="both"/>
        <w:ind w:left="260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Также необходимо описать стоимость проекта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которая складывается из стоимости капиталовложений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иных инвестиционных затрат и затрат на покрытие текущих издержек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затраты на персонал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общие и прямые издержки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в течение инвестиционного периода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После определения стоимости проекта определяется структура финансирования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так стоимость проекта и есть объем необходимого финансирования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Определяются источники финансирования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сколько собственного и заемного капитала привлекается для реализации проекта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указываются цели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на которые направляется привлекаемое финансирование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Также определяется график финансирования проекта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в котором отдельно прописывается поступление собственного и заемного капитала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Помимо графика финансирования проекта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приводится и график погашения привлеченных средств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График погашения должен включать проценты по привлекаемым кредитам и выплату дивидендов по привлекаемым собственным средствам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включая инвестированные в проект средства сторонними инвесторами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Проценты и дивиденды рассчитываются из условий кредита и условий привлечения собственного капитала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Условия кредита должны включать информацию об объеме привлекаемых кредитных средств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процентной ставке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условиям возврата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"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тела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"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кредита и процентов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условия отсрочек выплат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Условия привлечения собственных средств должны включать объем привлекаемых собственных средств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дивидендную ставку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условия выплаты дивидендов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Кроме этого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приводятся отчет прибылей и убытков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который демонстрирует формирование доходной и расходной части проекта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отчет о движении денежных средств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то есть реальное движение денежных средств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в зависимости от условий оплаты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прогнозный баланс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отображающий условия формирования активов и обязательств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).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Необходимо отразить распределение прибыли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Будут ли выплачиваться дивиденды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формироваться резерв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в какой доли от чистой прибыли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 xml:space="preserve"> Или вся заработанная прибыль будет увеличивать нераспределенную прибыль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80"/>
        </w:rPr>
        <w:t>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Структура и график производственных затрат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связанных с реализацией проекта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разработаны с учетом календарного графика и сметной стоимости строительных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Общая сметная стоимость производственных расходов составит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678 409,10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расчета кредитных обязательств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получаемых в рамках проекта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использовались следующие исходные данные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620"/>
        <w:spacing w:after="0" w:line="318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сумма получаемого кредита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249 121,18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80" w:hanging="360"/>
        <w:spacing w:after="0" w:line="284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срок кредитования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21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месяца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единовременным возвратом всей суммы в сентябре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2009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20"/>
        <w:spacing w:after="0" w:line="294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процентная ставка по кредиту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15%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годовых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620"/>
        <w:spacing w:after="0" w:line="293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периодичность погашения процентов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ежемесячно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График финансирования проекта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выплаты процентов по кредиту и возврату денежных средств представлен в таблице 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приложении №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Чистая прибыль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после уплаты налога и платежей из прибыли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– 772,46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млн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Получение прибыли от продажи квартир запланировано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начиная с октября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2008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№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Отчет о прибылях и убытках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»).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Финансовые расчеты по проекту строились по принципу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доходы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расходы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 есть все капитальные затраты по строительству принимались не как капиталовложения застройщика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как расходы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связанные с реализацией продаваемых квартир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связи с этим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балансе предприятия отсутствуют внеоборотные активы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40" w:orient="portrait"/>
          <w:cols w:equalWidth="0" w:num="1">
            <w:col w:w="9620"/>
          </w:cols>
          <w:pgMar w:left="1440" w:top="1112" w:right="844" w:bottom="1440" w:gutter="0" w:footer="0" w:header="0"/>
        </w:sectPr>
      </w:pPr>
    </w:p>
    <w:p>
      <w:pPr>
        <w:jc w:val="both"/>
        <w:ind w:left="26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Чистый поток денежных средств рассчитан исходя из всех поступлений от продажи квартир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минус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выбытие денежных средств на оплату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процентов по кредиту и прочих затрат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учетом прироста нормируемых оборотных активов и пассивов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276" w:lineRule="auto"/>
        <w:tabs>
          <w:tab w:leader="none" w:pos="548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отчете о движении денежных средств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№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 бизнес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приведен помесячный плановый расчет поступления и выбытия денежных средств по проекту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1"/>
          <w:numId w:val="38"/>
        </w:numP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Показатели эффективности</w:t>
      </w:r>
    </w:p>
    <w:p>
      <w:pPr>
        <w:spacing w:after="0" w:line="123" w:lineRule="exact"/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</w:pPr>
    </w:p>
    <w:p>
      <w:pPr>
        <w:jc w:val="both"/>
        <w:ind w:left="260" w:firstLine="2"/>
        <w:spacing w:after="0" w:line="243" w:lineRule="auto"/>
        <w:tabs>
          <w:tab w:leader="none" w:pos="661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разделе показателей эффективности приводится таблица с показателями эффективности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длительность проекта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используемая ставка дисконтирования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Далее приводится анализ основных показателей эффективности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Дается оценка полученных данных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Необходимо акцентировать внимание на высоких показателях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говорящих о привлекательности данного проекта или объяснить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с чем связаны заниженные результаты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например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большой период окупаемости может быть вызван высокими инвестиционными затратами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).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</w:pPr>
    </w:p>
    <w:p>
      <w:pPr>
        <w:jc w:val="both"/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Ставка дисконтирования необходима для приведения будущих денежных потоков к сегодняшнему дню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Это следует делать потому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что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стоимость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денег со временем уменьшается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Во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первых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из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за инфляции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уменьшающей покупательную способность денег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Во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вторых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дисконтирование позволяет учитывать альтернативную стоимость денег во времени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Инвестор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собственник может определить для себя требуемую доходность исходя из собственного опыта или безрискового получения дохода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покупка гос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облигаций с фиксированной безрисковой доходностью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уменьшить будущие денежные потоки на процент ожидаемой доходности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третьих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дисконтирование позволяет учитывать возможные риски для проекта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не связанные с инфляцией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Например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риск появления непредвиденных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неучтенных в проекте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затрат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или недостижение планируемого объема продаж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Рисковая составляющая экспертно определяется инициатором проекта и увеличивает ставку дисконтирования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</w:p>
    <w:p>
      <w:pPr>
        <w:jc w:val="both"/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Определять ставку дисконтирования можно различными методами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методом средневзвешенной стоимости капитала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WACC 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учитывает наличие собственных и заемных средств в структуре капитала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метод кумулятивного построения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метод моделей оценки долгосрочных активов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CAMP,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арбитражного ценообразования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APM.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В основе этих моделей лежит доходность безрисковых вложений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На основе дисконтированных денежных потоков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рассчитываются показатели эффективности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</w:p>
    <w:p>
      <w:pPr>
        <w:jc w:val="both"/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Ключевыми и наиболее интересными для оценки являются показатели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период окупаемости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PB,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чистый приведенный доход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NPV,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внутренняя норма рентабельности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IRR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и индекс прибыльности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PI.</w:t>
      </w:r>
    </w:p>
    <w:p>
      <w:pPr>
        <w:jc w:val="both"/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Период окупаемости позволяет определить период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когда выручка от проекта превысит сумму первоначальных затрат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Период окупаемости не должен превышать периода проекта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</w:p>
    <w:p>
      <w:pPr>
        <w:jc w:val="both"/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Чистый приведенный доход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это сумма альтернативного дохода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с учетом поправки на ставку дисконтирования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которую получит собственник по завершению длительности проекта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Проект считается эффективным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если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NPV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больше нуля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</w:p>
    <w:p>
      <w:pPr>
        <w:jc w:val="both"/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Внутренняя норма рентабельности показывает максимальную альтернативную доходность проекта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Эта та ставка дисконтирования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при которой чистый приведенный доход равен нулю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поэтому критерием оценки является превышение внутренней нормы рентабельности над ставкой дисконтирования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</w:p>
    <w:p>
      <w:pPr>
        <w:jc w:val="both"/>
        <w:ind w:left="260"/>
        <w:spacing w:after="0" w:line="242" w:lineRule="auto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Индекс прибыльности определяет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какой доход получит собственник от одного инвестированного рубля в проект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Этот показатель более всего интересен инвестору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Чем больше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PI,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тем интереснее проект для инвестирования в него средств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 PI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должен быть как минимум больше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1.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-1270</wp:posOffset>
                </wp:positionV>
                <wp:extent cx="512826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9pt,-0.0999pt" to="410.7pt,-0.0999pt" o:allowincell="f" strokecolor="#000000" strokeweight="1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-10795</wp:posOffset>
                </wp:positionV>
                <wp:extent cx="0" cy="19367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65pt,-0.8499pt" to="7.65pt,14.4pt" o:allowincell="f" strokecolor="#000000" strokeweight="1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-10795</wp:posOffset>
                </wp:positionV>
                <wp:extent cx="0" cy="19367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8.85pt,-0.8499pt" to="328.85pt,14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-10795</wp:posOffset>
                </wp:positionV>
                <wp:extent cx="0" cy="19367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9.95pt,-0.8499pt" to="409.95pt,14.4pt" o:allowincell="f" strokecolor="#000000" strokeweight="1.5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620"/>
          </w:cols>
          <w:pgMar w:left="1440" w:top="1114" w:right="844" w:bottom="1094" w:gutter="0" w:footer="0" w:header="0"/>
        </w:sect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8"/>
        </w:trPr>
        <w:tc>
          <w:tcPr>
            <w:tcW w:w="6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Показатель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Рубли</w:t>
            </w:r>
          </w:p>
        </w:tc>
      </w:tr>
      <w:tr>
        <w:trPr>
          <w:trHeight w:val="224"/>
        </w:trPr>
        <w:tc>
          <w:tcPr>
            <w:tcW w:w="6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76"/>
        </w:trPr>
        <w:tc>
          <w:tcPr>
            <w:tcW w:w="6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Ставка дисконтирования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 %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25,00</w:t>
            </w:r>
          </w:p>
        </w:tc>
      </w:tr>
      <w:tr>
        <w:trPr>
          <w:trHeight w:val="270"/>
        </w:trPr>
        <w:tc>
          <w:tcPr>
            <w:tcW w:w="6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Период окупаемости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PB,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</w:t>
            </w:r>
          </w:p>
        </w:tc>
      </w:tr>
      <w:tr>
        <w:trPr>
          <w:trHeight w:val="306"/>
        </w:trPr>
        <w:tc>
          <w:tcPr>
            <w:tcW w:w="6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Дисконтированный период окупаемости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DPB,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</w:t>
            </w:r>
          </w:p>
        </w:tc>
      </w:tr>
      <w:tr>
        <w:trPr>
          <w:trHeight w:val="226"/>
        </w:trPr>
        <w:tc>
          <w:tcPr>
            <w:tcW w:w="6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72"/>
        </w:trPr>
        <w:tc>
          <w:tcPr>
            <w:tcW w:w="6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Средняя норма рентабельности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ARR, %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105,39</w:t>
            </w:r>
          </w:p>
        </w:tc>
      </w:tr>
      <w:tr>
        <w:trPr>
          <w:trHeight w:val="270"/>
        </w:trPr>
        <w:tc>
          <w:tcPr>
            <w:tcW w:w="6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Чистый приведенный доход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NPV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209 928</w:t>
            </w:r>
          </w:p>
        </w:tc>
      </w:tr>
      <w:tr>
        <w:trPr>
          <w:trHeight w:val="272"/>
        </w:trPr>
        <w:tc>
          <w:tcPr>
            <w:tcW w:w="6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Индекс прибыльности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PI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1,90</w:t>
            </w:r>
          </w:p>
        </w:tc>
      </w:tr>
      <w:tr>
        <w:trPr>
          <w:trHeight w:val="270"/>
        </w:trPr>
        <w:tc>
          <w:tcPr>
            <w:tcW w:w="6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Внутренняя норма рентабельности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IRR, %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98,19</w:t>
            </w:r>
          </w:p>
        </w:tc>
      </w:tr>
      <w:tr>
        <w:trPr>
          <w:trHeight w:val="253"/>
        </w:trPr>
        <w:tc>
          <w:tcPr>
            <w:tcW w:w="6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Модифицированная внутренняя норма рентабельности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60,50</w:t>
            </w:r>
          </w:p>
        </w:tc>
      </w:tr>
      <w:tr>
        <w:trPr>
          <w:trHeight w:val="305"/>
        </w:trPr>
        <w:tc>
          <w:tcPr>
            <w:tcW w:w="6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MIRR, %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260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Срок окупаемости инвестиционных вложений по проекту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21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месяц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Период расчета показателей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30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Дисконтированный срок окупаемости инвестиционных вложений по проекту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Чистый дисконтированный доход за расчетный период планирования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(2,5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составляет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80" w:hanging="418"/>
        <w:spacing w:after="0"/>
        <w:tabs>
          <w:tab w:leader="none" w:pos="680" w:val="left"/>
        </w:tabs>
        <w:numPr>
          <w:ilvl w:val="0"/>
          <w:numId w:val="3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млн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Индекс доходности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рентабельности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инвестиций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1,9.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26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Проект окупаем в течение двух лет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позволит предприятию своевременно осуществить возврат кредита в полном объеме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без ущерба процессу строительства комплекса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1680" w:hanging="1058"/>
        <w:spacing w:after="0"/>
        <w:tabs>
          <w:tab w:leader="none" w:pos="1680" w:val="left"/>
        </w:tabs>
        <w:numPr>
          <w:ilvl w:val="1"/>
          <w:numId w:val="40"/>
        </w:numP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Оценка рисков и анализ чувствительности проекта</w:t>
      </w:r>
    </w:p>
    <w:p>
      <w:pPr>
        <w:spacing w:after="0" w:line="122" w:lineRule="exact"/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</w:pPr>
    </w:p>
    <w:p>
      <w:pPr>
        <w:ind w:left="260" w:firstLine="2"/>
        <w:spacing w:after="0" w:line="243" w:lineRule="auto"/>
        <w:tabs>
          <w:tab w:leader="none" w:pos="466" w:val="left"/>
        </w:tabs>
        <w:numPr>
          <w:ilvl w:val="0"/>
          <w:numId w:val="40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этом разделе необходимо описать цели и суть проведения анализа чувствительности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Представить перечень факторов риска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используемых для анализа и процент их варьирования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Представить полученные результаты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графики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таблицу изменения показателей эффективности от отклонения выбранных параметров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График достаточно привести по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NPV (PI, IRR).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Прокомментировать полученные данные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определить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к изменению каких параметров проект является наиболее чувствительным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дать количественную оценку факторов риска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процент отклонения варьируемого параметра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при котором проект становится неэффективным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Описать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каким образом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будут учтены возможные риски в проекте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например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увеличена ставка дисконтирования для расчета показателей эффективности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внесены дополнительные затраты на рекламу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расширена линейка предоставляемых услуг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чтоб избежать снижения объема продаж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Необходимо акцентировать внимание на те параметры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при варьировании которых проект устойчив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чтобы подчеркнуть его привлекательность для инвестирования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реализации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Целью анализа чувствительности проекта является определение степени влияния варьирующих факторов на финансовый результат проекта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Наиболее распространенный метод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используемый для проведения анализа чувствительности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имитационное моделирование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качестве интегральных показателей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характеризующих финансовый результат проекта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используется рассмотренные ранее показатели эффективности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такие как внутренняя норма рентабельности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срок окупаемости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чистый приведенный доход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индекс прибыльности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55" w:lineRule="auto"/>
        <w:tabs>
          <w:tab w:leader="none" w:pos="518" w:val="left"/>
        </w:tabs>
        <w:numPr>
          <w:ilvl w:val="0"/>
          <w:numId w:val="4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процессе анализа чувствительности варьируются в определенном диапазоне значения одного из выбранных факторов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фиксированном значении остальных и определяется зависимость интегральных показателей эффективности от этих изменений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40" w:orient="portrait"/>
          <w:cols w:equalWidth="0" w:num="1">
            <w:col w:w="9620"/>
          </w:cols>
          <w:pgMar w:left="1440" w:top="1134" w:right="844" w:bottom="1440" w:gutter="0" w:footer="0" w:header="0"/>
        </w:sectPr>
      </w:pPr>
    </w:p>
    <w:p>
      <w:pPr>
        <w:jc w:val="both"/>
        <w:ind w:left="260" w:firstLine="2"/>
        <w:spacing w:after="0" w:line="255" w:lineRule="auto"/>
        <w:tabs>
          <w:tab w:leader="none" w:pos="614" w:val="left"/>
        </w:tabs>
        <w:numPr>
          <w:ilvl w:val="0"/>
          <w:numId w:val="4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данном проекте проведен анализ чувствительности чистого дисконтированного денежного потока от реализации инвестиционного проекта к изменению следующих факторов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посредством поочерёдного варьирования следующих параметров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):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620" w:right="6700"/>
        <w:spacing w:after="0" w:line="3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Объем инвестиций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Цена сбыта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Общие издержки</w:t>
      </w:r>
    </w:p>
    <w:p>
      <w:pPr>
        <w:jc w:val="both"/>
        <w:ind w:left="620" w:right="6580"/>
        <w:spacing w:after="0" w:line="28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Зарплата персонала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Ставки по кредитам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Результат анализа представлен графически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 графики на одной шкале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Каждый график отображает поведение чистого дисконтированного денежного потока при изменении одного параметра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рисунке приведен график анализа чувствительности для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NPV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проекта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27305</wp:posOffset>
            </wp:positionV>
            <wp:extent cx="5943600" cy="37865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Таблица результатов анализа чувствительности представлена в приложении №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Анализ чувствительности показал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данный проект является устойчивым к изменению факторов риска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Учитывая это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проектом предусмотрена политика ценообразования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соответствии с которой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980" w:hanging="360"/>
        <w:spacing w:after="0" w:line="288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первых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изменение стоимости одного квадратного метра жилья рассчитано исходя из наиболее пессимистического варианта развития событий в ближайшие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80" w:hanging="360"/>
        <w:spacing w:after="0" w:line="278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вторых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стоимость квартир в комплексе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ХХХ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проекте установлена существенно ниже уровня рыночных цен на аналогичное жилье в близлежащих микрорайонах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248" w:lineRule="auto"/>
        <w:tabs>
          <w:tab w:leader="none" w:pos="544" w:val="left"/>
        </w:tabs>
        <w:numPr>
          <w:ilvl w:val="0"/>
          <w:numId w:val="4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связи с этим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вероятность снижения цен на возводимое жилье при осуществлении фактических продаж в рамках проекта сводится к минимуму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40" w:orient="portrait"/>
          <w:cols w:equalWidth="0" w:num="1">
            <w:col w:w="9620"/>
          </w:cols>
          <w:pgMar w:left="1440" w:top="1114" w:right="844" w:bottom="1440" w:gutter="0" w:footer="0" w:header="0"/>
        </w:sectPr>
      </w:pPr>
    </w:p>
    <w:p>
      <w:pPr>
        <w:ind w:left="1680" w:hanging="1058"/>
        <w:spacing w:after="0"/>
        <w:tabs>
          <w:tab w:leader="none" w:pos="1680" w:val="left"/>
        </w:tabs>
        <w:numPr>
          <w:ilvl w:val="1"/>
          <w:numId w:val="44"/>
        </w:numP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Заключение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</w:pPr>
    </w:p>
    <w:p>
      <w:pPr>
        <w:spacing w:after="0" w:line="292" w:lineRule="exact"/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</w:pPr>
    </w:p>
    <w:p>
      <w:pPr>
        <w:jc w:val="both"/>
        <w:ind w:left="260" w:firstLine="2"/>
        <w:spacing w:after="0" w:line="293" w:lineRule="auto"/>
        <w:tabs>
          <w:tab w:leader="none" w:pos="562" w:val="left"/>
        </w:tabs>
        <w:numPr>
          <w:ilvl w:val="0"/>
          <w:numId w:val="44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заключении необходимо отразить цели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особенности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характеризующие данный проект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и выводы по маркетинговому анализу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показателям эффективности и анализу риску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наглядно отображающие привлекательность данного проекта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8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Для начала необходимо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чтоб содержание заключения отвечало на следующие вопросы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что это за проект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кто инициатор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каковы цели проекта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Следует отразить уникальность данного проекта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например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особенности проекта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его местонахождение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отсутствие конкурентов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большая доля на рынке и др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.).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Обязательно приведите таблицу с показателями эффективности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дающими наглядное подтверждение тому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что проект является привлекательным для реализации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для инвестора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Отразите эти выводы в заключении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Также обратите внимание на устойчивость проекта к возможным рискам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приведите основные факторы риска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Приведите основные выводы анализа чувствительности и метода Монте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Карло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.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307" w:lineRule="auto"/>
        <w:tabs>
          <w:tab w:leader="none" w:pos="513" w:val="left"/>
        </w:tabs>
        <w:numPr>
          <w:ilvl w:val="0"/>
          <w:numId w:val="45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конце сделаете вывод о привлекательности и целесообразности реализации данного проекта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9A"/>
        </w:rPr>
        <w:t xml:space="preserve"> инвестирования денежных </w:t>
      </w:r>
      <w:r>
        <w:rPr>
          <w:rFonts w:ascii="Calibri" w:cs="Calibri" w:eastAsia="Calibri" w:hAnsi="Calibri"/>
          <w:sz w:val="21"/>
          <w:szCs w:val="21"/>
          <w:i w:val="1"/>
          <w:iCs w:val="1"/>
          <w:color w:val="33339A"/>
        </w:rPr>
        <w:t>средств в этот проект.</w:t>
      </w:r>
    </w:p>
    <w:p>
      <w:pPr>
        <w:sectPr>
          <w:pgSz w:w="11900" w:h="16840" w:orient="portrait"/>
          <w:cols w:equalWidth="0" w:num="1">
            <w:col w:w="9620"/>
          </w:cols>
          <w:pgMar w:left="1440" w:top="1104" w:right="844" w:bottom="1440" w:gutter="0" w:footer="0" w:header="0"/>
        </w:sectPr>
      </w:pP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ind w:left="1120" w:hanging="1065"/>
        <w:spacing w:after="0"/>
        <w:tabs>
          <w:tab w:leader="none" w:pos="1120" w:val="left"/>
        </w:tabs>
        <w:numPr>
          <w:ilvl w:val="0"/>
          <w:numId w:val="46"/>
        </w:numP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auto"/>
        </w:rPr>
        <w:t>Приложения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-192405</wp:posOffset>
            </wp:positionH>
            <wp:positionV relativeFrom="paragraph">
              <wp:posOffset>841375</wp:posOffset>
            </wp:positionV>
            <wp:extent cx="9972040" cy="18567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185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23820" w:orient="portrait"/>
          <w:cols w:equalWidth="0" w:num="1">
            <w:col w:w="1396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8"/>
        </w:trPr>
        <w:tc>
          <w:tcPr>
            <w:tcW w:w="2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Строка</w:t>
            </w:r>
          </w:p>
        </w:tc>
        <w:tc>
          <w:tcPr>
            <w:tcW w:w="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7"/>
              </w:rPr>
              <w:t>4.2008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5.2008</w:t>
            </w: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6.2008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7.2008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8.2008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3"/>
              </w:rPr>
              <w:t>9.2008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10.2008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6"/>
              </w:rPr>
              <w:t>11.2008</w:t>
            </w:r>
          </w:p>
        </w:tc>
        <w:tc>
          <w:tcPr>
            <w:tcW w:w="8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12.2008</w:t>
            </w:r>
          </w:p>
        </w:tc>
      </w:tr>
      <w:tr>
        <w:trPr>
          <w:trHeight w:val="214"/>
        </w:trPr>
        <w:tc>
          <w:tcPr>
            <w:tcW w:w="2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85"/>
        </w:trPr>
        <w:tc>
          <w:tcPr>
            <w:tcW w:w="2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1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комнатные квартиры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6"/>
              </w:rPr>
              <w:t>2 960,00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4 440,00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5 920,00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5 920,00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7 560,00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7 770,00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7 862,50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7 955,00</w:t>
            </w: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8 047,5</w:t>
            </w:r>
          </w:p>
        </w:tc>
      </w:tr>
      <w:tr>
        <w:trPr>
          <w:trHeight w:val="179"/>
        </w:trPr>
        <w:tc>
          <w:tcPr>
            <w:tcW w:w="2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2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комнатные квартиры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8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6"/>
              </w:rPr>
              <w:t>4 144,00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right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4 144,00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6 216,00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6 216,00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6 449,10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8 702,40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13 209,00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13 364,40</w:t>
            </w: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15 773,1</w:t>
            </w:r>
          </w:p>
        </w:tc>
      </w:tr>
      <w:tr>
        <w:trPr>
          <w:trHeight w:val="203"/>
        </w:trPr>
        <w:tc>
          <w:tcPr>
            <w:tcW w:w="2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3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комнатные квартиры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8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6"/>
              </w:rPr>
              <w:t>2 664,00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right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5 328,00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7 992,00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7 992,00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11 055,60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right"/>
              <w:ind w:right="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11 188,80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14 152,50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14 319,00</w:t>
            </w: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17 382,6</w:t>
            </w:r>
          </w:p>
        </w:tc>
      </w:tr>
      <w:tr>
        <w:trPr>
          <w:trHeight w:val="159"/>
        </w:trPr>
        <w:tc>
          <w:tcPr>
            <w:tcW w:w="1820" w:type="dxa"/>
            <w:vAlign w:val="bottom"/>
            <w:tcBorders>
              <w:top w:val="single" w:sz="8" w:color="9AFFFF"/>
              <w:left w:val="single" w:sz="8" w:color="auto"/>
              <w:bottom w:val="single" w:sz="8" w:color="auto"/>
              <w:right w:val="single" w:sz="8" w:color="9AFFFF"/>
            </w:tcBorders>
            <w:gridSpan w:val="2"/>
            <w:shd w:val="clear" w:color="auto" w:fill="9AFFFF"/>
          </w:tcPr>
          <w:p>
            <w:pPr>
              <w:ind w:left="1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ИТОГО</w:t>
            </w:r>
          </w:p>
        </w:tc>
        <w:tc>
          <w:tcPr>
            <w:tcW w:w="20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9AFFFF"/>
              <w:bottom w:val="single" w:sz="8" w:color="auto"/>
            </w:tcBorders>
            <w:gridSpan w:val="2"/>
            <w:shd w:val="clear" w:color="auto" w:fill="9AFFFF"/>
          </w:tcPr>
          <w:p>
            <w:pPr>
              <w:ind w:left="18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6"/>
              </w:rPr>
              <w:t>9 768,00</w:t>
            </w:r>
          </w:p>
        </w:tc>
        <w:tc>
          <w:tcPr>
            <w:tcW w:w="12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9AFFFF"/>
              <w:bottom w:val="single" w:sz="8" w:color="auto"/>
            </w:tcBorders>
            <w:gridSpan w:val="3"/>
            <w:shd w:val="clear" w:color="auto" w:fill="9AFFFF"/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13 912,00</w:t>
            </w:r>
          </w:p>
        </w:tc>
        <w:tc>
          <w:tcPr>
            <w:tcW w:w="10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gridSpan w:val="2"/>
            <w:shd w:val="clear" w:color="auto" w:fill="9AFFFF"/>
          </w:tcPr>
          <w:p>
            <w:pPr>
              <w:jc w:val="right"/>
              <w:ind w:righ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20 128,00</w:t>
            </w:r>
          </w:p>
        </w:tc>
        <w:tc>
          <w:tcPr>
            <w:tcW w:w="102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gridSpan w:val="2"/>
            <w:shd w:val="clear" w:color="auto" w:fill="9AFFFF"/>
          </w:tcPr>
          <w:p>
            <w:pPr>
              <w:jc w:val="right"/>
              <w:ind w:righ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20 128,00</w:t>
            </w:r>
          </w:p>
        </w:tc>
        <w:tc>
          <w:tcPr>
            <w:tcW w:w="100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gridSpan w:val="2"/>
            <w:shd w:val="clear" w:color="auto" w:fill="9AFFFF"/>
          </w:tcPr>
          <w:p>
            <w:pPr>
              <w:jc w:val="right"/>
              <w:ind w:righ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25 064,70</w:t>
            </w:r>
          </w:p>
        </w:tc>
        <w:tc>
          <w:tcPr>
            <w:tcW w:w="200" w:type="dxa"/>
            <w:vAlign w:val="bottom"/>
            <w:tcBorders>
              <w:top w:val="single" w:sz="8" w:color="9AFFFF"/>
              <w:bottom w:val="single" w:sz="8" w:color="auto"/>
            </w:tcBorders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gridSpan w:val="3"/>
            <w:shd w:val="clear" w:color="auto" w:fill="9AFFFF"/>
          </w:tcPr>
          <w:p>
            <w:pPr>
              <w:jc w:val="right"/>
              <w:ind w:righ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27 661,20</w:t>
            </w:r>
          </w:p>
        </w:tc>
        <w:tc>
          <w:tcPr>
            <w:tcW w:w="180" w:type="dxa"/>
            <w:vAlign w:val="bottom"/>
            <w:tcBorders>
              <w:top w:val="single" w:sz="8" w:color="9AFFFF"/>
              <w:bottom w:val="single" w:sz="8" w:color="auto"/>
            </w:tcBorders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gridSpan w:val="2"/>
            <w:shd w:val="clear" w:color="auto" w:fill="9AFFFF"/>
          </w:tcPr>
          <w:p>
            <w:pPr>
              <w:jc w:val="right"/>
              <w:ind w:righ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35 224,00</w:t>
            </w:r>
          </w:p>
        </w:tc>
        <w:tc>
          <w:tcPr>
            <w:tcW w:w="200" w:type="dxa"/>
            <w:vAlign w:val="bottom"/>
            <w:tcBorders>
              <w:top w:val="single" w:sz="8" w:color="9AFFFF"/>
              <w:bottom w:val="single" w:sz="8" w:color="auto"/>
              <w:right w:val="single" w:sz="8" w:color="9AFFFF"/>
            </w:tcBorders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jc w:val="right"/>
              <w:ind w:righ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35 638,40</w:t>
            </w:r>
          </w:p>
        </w:tc>
        <w:tc>
          <w:tcPr>
            <w:tcW w:w="820" w:type="dxa"/>
            <w:vAlign w:val="bottom"/>
            <w:tcBorders>
              <w:top w:val="single" w:sz="8" w:color="9AFFFF"/>
              <w:bottom w:val="single" w:sz="8" w:color="auto"/>
            </w:tcBorders>
            <w:gridSpan w:val="2"/>
            <w:shd w:val="clear" w:color="auto" w:fill="9AFFFF"/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41 203,2</w:t>
            </w:r>
          </w:p>
        </w:tc>
      </w:tr>
      <w:tr>
        <w:trPr>
          <w:trHeight w:val="562"/>
        </w:trPr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8"/>
        </w:trPr>
        <w:tc>
          <w:tcPr>
            <w:tcW w:w="2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Строка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7"/>
              </w:rPr>
              <w:t>5.2009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6.2009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7"/>
              </w:rPr>
              <w:t>7.2009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8.2009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9.2009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10.2009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11.2009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12.2009</w:t>
            </w:r>
          </w:p>
        </w:tc>
        <w:tc>
          <w:tcPr>
            <w:tcW w:w="8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1.2010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2.2010</w:t>
            </w:r>
          </w:p>
        </w:tc>
      </w:tr>
      <w:tr>
        <w:trPr>
          <w:trHeight w:val="214"/>
        </w:trPr>
        <w:tc>
          <w:tcPr>
            <w:tcW w:w="2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48"/>
        </w:trPr>
        <w:tc>
          <w:tcPr>
            <w:tcW w:w="22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комнатные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13 616,00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13 764,00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12 173,00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10 545,00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8 880,00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10 767,00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12 691,00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14 652,00</w:t>
            </w:r>
          </w:p>
        </w:tc>
        <w:tc>
          <w:tcPr>
            <w:tcW w:w="820" w:type="dxa"/>
            <w:vAlign w:val="bottom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14 800,00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0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6"/>
              </w:rPr>
              <w:t>14 800,0</w:t>
            </w:r>
          </w:p>
        </w:tc>
      </w:tr>
      <w:tr>
        <w:trPr>
          <w:trHeight w:val="216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квартиры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47"/>
        </w:trPr>
        <w:tc>
          <w:tcPr>
            <w:tcW w:w="22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комнатные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26 210,80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26 495,70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24 346,00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22 144,50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4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24 864,00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22 610,70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25 382,00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25 641,00</w:t>
            </w:r>
          </w:p>
        </w:tc>
        <w:tc>
          <w:tcPr>
            <w:tcW w:w="820" w:type="dxa"/>
            <w:vAlign w:val="bottom"/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28 490,00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0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6"/>
              </w:rPr>
              <w:t>28 490,0</w:t>
            </w:r>
          </w:p>
        </w:tc>
      </w:tr>
      <w:tr>
        <w:trPr>
          <w:trHeight w:val="216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квартиры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48"/>
        </w:trPr>
        <w:tc>
          <w:tcPr>
            <w:tcW w:w="22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комнатные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21 445,20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24 775,20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21 911,40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22 144,50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19 180,80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19 380,60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22 843,80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26 373,60</w:t>
            </w:r>
          </w:p>
        </w:tc>
        <w:tc>
          <w:tcPr>
            <w:tcW w:w="820" w:type="dxa"/>
            <w:vAlign w:val="bottom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26 640,00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0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6"/>
              </w:rPr>
              <w:t>29 970,0</w:t>
            </w: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квартиры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64"/>
        </w:trPr>
        <w:tc>
          <w:tcPr>
            <w:tcW w:w="1820" w:type="dxa"/>
            <w:vAlign w:val="bottom"/>
            <w:tcBorders>
              <w:top w:val="single" w:sz="8" w:color="9AFFFF"/>
              <w:left w:val="single" w:sz="8" w:color="auto"/>
              <w:bottom w:val="single" w:sz="8" w:color="auto"/>
              <w:right w:val="single" w:sz="8" w:color="auto"/>
            </w:tcBorders>
            <w:gridSpan w:val="2"/>
            <w:shd w:val="clear" w:color="auto" w:fill="9AFFFF"/>
          </w:tcPr>
          <w:p>
            <w:pPr>
              <w:ind w:left="120"/>
              <w:spacing w:after="0" w:line="1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ИТОГО</w:t>
            </w:r>
          </w:p>
        </w:tc>
        <w:tc>
          <w:tcPr>
            <w:tcW w:w="92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gridSpan w:val="2"/>
            <w:shd w:val="clear" w:color="auto" w:fill="9AFFFF"/>
          </w:tcPr>
          <w:p>
            <w:pPr>
              <w:jc w:val="center"/>
              <w:spacing w:after="0" w:line="1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61 272,00</w:t>
            </w:r>
          </w:p>
        </w:tc>
        <w:tc>
          <w:tcPr>
            <w:tcW w:w="80" w:type="dxa"/>
            <w:vAlign w:val="bottom"/>
            <w:tcBorders>
              <w:top w:val="single" w:sz="8" w:color="9AFFFF"/>
              <w:bottom w:val="single" w:sz="8" w:color="auto"/>
            </w:tcBorders>
            <w:shd w:val="clear" w:color="auto" w:fill="9AFFF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gridSpan w:val="2"/>
            <w:shd w:val="clear" w:color="auto" w:fill="9AFFFF"/>
          </w:tcPr>
          <w:p>
            <w:pPr>
              <w:jc w:val="center"/>
              <w:ind w:right="40"/>
              <w:spacing w:after="0" w:line="1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65 034,90</w:t>
            </w:r>
          </w:p>
        </w:tc>
        <w:tc>
          <w:tcPr>
            <w:tcW w:w="40" w:type="dxa"/>
            <w:vAlign w:val="bottom"/>
            <w:tcBorders>
              <w:top w:val="single" w:sz="8" w:color="9AFFFF"/>
              <w:bottom w:val="single" w:sz="8" w:color="auto"/>
            </w:tcBorders>
            <w:shd w:val="clear" w:color="auto" w:fill="9AFFF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gridSpan w:val="3"/>
            <w:shd w:val="clear" w:color="auto" w:fill="9AFFFF"/>
          </w:tcPr>
          <w:p>
            <w:pPr>
              <w:jc w:val="center"/>
              <w:spacing w:after="0" w:line="1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58 430,40</w:t>
            </w:r>
          </w:p>
        </w:tc>
        <w:tc>
          <w:tcPr>
            <w:tcW w:w="92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gridSpan w:val="2"/>
            <w:shd w:val="clear" w:color="auto" w:fill="9AFFFF"/>
          </w:tcPr>
          <w:p>
            <w:pPr>
              <w:jc w:val="center"/>
              <w:spacing w:after="0" w:line="1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54 834,00</w:t>
            </w:r>
          </w:p>
        </w:tc>
        <w:tc>
          <w:tcPr>
            <w:tcW w:w="94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gridSpan w:val="2"/>
            <w:shd w:val="clear" w:color="auto" w:fill="9AFFFF"/>
          </w:tcPr>
          <w:p>
            <w:pPr>
              <w:jc w:val="right"/>
              <w:ind w:right="40"/>
              <w:spacing w:after="0" w:line="1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52 924,80</w:t>
            </w:r>
          </w:p>
        </w:tc>
        <w:tc>
          <w:tcPr>
            <w:tcW w:w="800" w:type="dxa"/>
            <w:vAlign w:val="bottom"/>
            <w:tcBorders>
              <w:top w:val="single" w:sz="8" w:color="9AFFFF"/>
              <w:bottom w:val="single" w:sz="8" w:color="auto"/>
            </w:tcBorders>
            <w:gridSpan w:val="3"/>
            <w:shd w:val="clear" w:color="auto" w:fill="9AFFFF"/>
          </w:tcPr>
          <w:p>
            <w:pPr>
              <w:jc w:val="center"/>
              <w:spacing w:after="0" w:line="1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52 758,30</w:t>
            </w:r>
          </w:p>
        </w:tc>
        <w:tc>
          <w:tcPr>
            <w:tcW w:w="12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9AFFFF"/>
              <w:bottom w:val="single" w:sz="8" w:color="auto"/>
            </w:tcBorders>
            <w:gridSpan w:val="2"/>
            <w:shd w:val="clear" w:color="auto" w:fill="9AFFFF"/>
          </w:tcPr>
          <w:p>
            <w:pPr>
              <w:jc w:val="center"/>
              <w:spacing w:after="0" w:line="1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60 916,80</w:t>
            </w:r>
          </w:p>
        </w:tc>
        <w:tc>
          <w:tcPr>
            <w:tcW w:w="12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gridSpan w:val="2"/>
            <w:shd w:val="clear" w:color="auto" w:fill="9AFFFF"/>
          </w:tcPr>
          <w:p>
            <w:pPr>
              <w:jc w:val="center"/>
              <w:ind w:right="40"/>
              <w:spacing w:after="0" w:line="1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66 666,60</w:t>
            </w:r>
          </w:p>
        </w:tc>
        <w:tc>
          <w:tcPr>
            <w:tcW w:w="820" w:type="dxa"/>
            <w:vAlign w:val="bottom"/>
            <w:tcBorders>
              <w:top w:val="single" w:sz="8" w:color="9AFFFF"/>
              <w:bottom w:val="single" w:sz="8" w:color="auto"/>
              <w:right w:val="single" w:sz="8" w:color="9AFFFF"/>
            </w:tcBorders>
            <w:shd w:val="clear" w:color="auto" w:fill="9AFFFF"/>
          </w:tcPr>
          <w:p>
            <w:pPr>
              <w:jc w:val="center"/>
              <w:spacing w:after="0" w:line="1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69 930,00</w:t>
            </w:r>
          </w:p>
        </w:tc>
        <w:tc>
          <w:tcPr>
            <w:tcW w:w="10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9AFFFF"/>
              <w:bottom w:val="single" w:sz="8" w:color="auto"/>
            </w:tcBorders>
            <w:shd w:val="clear" w:color="auto" w:fill="9AFFFF"/>
          </w:tcPr>
          <w:p>
            <w:pPr>
              <w:ind w:left="100"/>
              <w:spacing w:after="0" w:line="1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6"/>
              </w:rPr>
              <w:t>73 260,0</w:t>
            </w:r>
          </w:p>
        </w:tc>
      </w:tr>
    </w:tbl>
    <w:p>
      <w:pPr>
        <w:sectPr>
          <w:pgSz w:w="11900" w:h="16840" w:orient="portrait"/>
          <w:cols w:equalWidth="0" w:num="1">
            <w:col w:w="10880"/>
          </w:cols>
          <w:pgMar w:left="1020" w:top="1440" w:right="4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3"/>
        </w:trPr>
        <w:tc>
          <w:tcPr>
            <w:tcW w:w="18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1.2008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2.2008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3.2008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4.2008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5.2008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6.2008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7.2008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8.2008</w:t>
            </w:r>
          </w:p>
        </w:tc>
        <w:tc>
          <w:tcPr>
            <w:tcW w:w="2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3"/>
        </w:trPr>
        <w:tc>
          <w:tcPr>
            <w:tcW w:w="1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Кредит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46 496,08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11 567,67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37 212,33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22 755,41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23 799,00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27 520,36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27 829,22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34 803,03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</w:t>
            </w:r>
          </w:p>
        </w:tc>
      </w:tr>
      <w:tr>
        <w:trPr>
          <w:trHeight w:val="198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Выплаты 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52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погашение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98"/>
        </w:trPr>
        <w:tc>
          <w:tcPr>
            <w:tcW w:w="1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займов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4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Выплаты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581,20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725,80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1 190,95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1 475,39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1 772,88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2 116,89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2 464,75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2 899,79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52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процентов по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14"/>
        </w:trPr>
        <w:tc>
          <w:tcPr>
            <w:tcW w:w="1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займам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3"/>
        </w:trPr>
        <w:tc>
          <w:tcPr>
            <w:tcW w:w="42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1.2009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2.2009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3.2009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4.2009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5.2009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6.200</w:t>
            </w:r>
          </w:p>
        </w:tc>
      </w:tr>
      <w:tr>
        <w:trPr>
          <w:trHeight w:val="253"/>
        </w:trPr>
        <w:tc>
          <w:tcPr>
            <w:tcW w:w="4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Кредит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8"/>
        </w:trPr>
        <w:tc>
          <w:tcPr>
            <w:tcW w:w="4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Выплаты в погашение займов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25 241,17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26 151,77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23 430,66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29 545,30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36 064,86</w:t>
            </w: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34 237</w:t>
            </w:r>
          </w:p>
        </w:tc>
      </w:tr>
      <w:tr>
        <w:trPr>
          <w:trHeight w:val="259"/>
        </w:trPr>
        <w:tc>
          <w:tcPr>
            <w:tcW w:w="4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Выплаты процентов по займам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2 498,99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2 172,10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1 879,21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1 509,90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1 059,09</w:t>
            </w: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631</w:t>
            </w:r>
          </w:p>
        </w:tc>
      </w:tr>
    </w:tbl>
    <w:p>
      <w:pPr>
        <w:sectPr>
          <w:pgSz w:w="11900" w:h="16840" w:orient="portrait"/>
          <w:cols w:equalWidth="0" w:num="1">
            <w:col w:w="10880"/>
          </w:cols>
          <w:pgMar w:left="1020" w:top="1440" w:right="4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>Прибыли-убытки (тыс. руб.)</w:t>
      </w:r>
    </w:p>
    <w:p>
      <w:pPr>
        <w:spacing w:after="0" w:line="7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3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4"/>
        </w:trPr>
        <w:tc>
          <w:tcPr>
            <w:tcW w:w="3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70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Строка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1кв. 2008г.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2кв. 2008г.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3кв. 2008г.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4кв. 2008г.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1кв. 2009г.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2кв. 2009г.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3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Валовый объем продаж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37125,42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61740,59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94970,85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119757,71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152979,32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Потери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3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Налоги с продаж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Чистый объем продаж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37125,42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61740,59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94970,85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119757,71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152979,32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Материалы и комплектующие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3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Сдельная зарплата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Суммарные прямые издержки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Валовая прибыль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37125,42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61740,59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94970,85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119757,71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152979,32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3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Налог на имущество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Административные издержки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333,05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333,05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333,05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333,05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333,05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333,05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Производственные издержки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737,29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737,29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737,29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737,29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737,29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737,29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3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Маркетинговые издержки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372,88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559,32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559,32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559,32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559,32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559,32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Зарплата административного персонала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699,30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699,30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699,30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699,30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699,30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699,30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Зарплата производственного персонала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151,20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151,20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151,20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151,20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151,20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151,20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3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Зарплата маркетингового персонала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75,60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75,60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75,60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75,60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75,60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75,60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Суммарные постоянные издержки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2369,32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2555,76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2555,76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2555,76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2555,76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2555,76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Амортизация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3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Проценты по кредитам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2497,95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5365,16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8478,55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8933,60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6550,30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3200,10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Суммарные непроизводственные издержки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2497,95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5365,16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8478,55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8933,60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6550,30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3200,10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Другие доходы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3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Другие издержки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76227,99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92939,42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119742,87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64679,99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41132,62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49339,42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Убытки предыдущих периодов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4876,63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4876,63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Прибыль до выплаты налога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-81095,26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-63734,91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-69036,59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18801,50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69519,02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97884,04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3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Суммарные издержки, отнесенные на прибыль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Прибыль от курсовой разницы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Налогооблагаемая прибыль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64642,39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93007,41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3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Налог на прибыль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12928,48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18601,48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"/>
        </w:trPr>
        <w:tc>
          <w:tcPr>
            <w:tcW w:w="3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ind w:left="1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Чистая прибыль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jc w:val="right"/>
              <w:ind w:righ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-81095,26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jc w:val="right"/>
              <w:ind w:righ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-63734,91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jc w:val="right"/>
              <w:ind w:righ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-69036,59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jc w:val="right"/>
              <w:ind w:righ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18801,50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jc w:val="right"/>
              <w:ind w:righ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56590,54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jc w:val="right"/>
              <w:ind w:righ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79282,56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880"/>
          </w:cols>
          <w:pgMar w:left="1020" w:top="1440" w:right="4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83"/>
        </w:trPr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  <w:gridSpan w:val="4"/>
          </w:tcPr>
          <w:p>
            <w:pPr>
              <w:jc w:val="right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Кэш-фло (тыс. руб.)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"/>
        </w:trPr>
        <w:tc>
          <w:tcPr>
            <w:tcW w:w="3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74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6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Строка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1кв. 2008г.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6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2кв. 2008г.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3кв. 2008г.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4кв. 2008г.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1кв. 2009г.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2кв. 2009г.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</w:tr>
      <w:tr>
        <w:trPr>
          <w:trHeight w:val="174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Поступления от продаж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6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43808,00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72853,90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112065,60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141314,10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180515,60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Затраты на материалы и комплектующие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Затраты на сдельную заработную плату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Суммарные прямые издержки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Общие издержки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1703,00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6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1923,00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1923,00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1923,00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1923,00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1923,00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Затраты на персонал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735,00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6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735,00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735,00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735,00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735,00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735,00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Суммарные постоянные издержки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2438,00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6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2658,00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2658,00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2658,00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2658,00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2658,00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Вложения в краткосрочные ценные бумаги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Доходы по краткосрочным ценным бумагам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Другие поступления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Другие выплаты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Налоги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191,10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6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191,10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191,10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191,10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8745,70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16589,16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Кэш-фло от операционной деятельности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-2629,10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6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40958,90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70004,80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109216,50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129910,40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161268,44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Затраты на приобретение активов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Другие издержки подготовительного периода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89949,03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6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109668,51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141296,58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76322,39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48536,50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58220,51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Поступления от реализации активов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Приобретение прав собственности (акций)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Продажа прав собственности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Доходы от инвестиционной деятельности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Кэш-фло от инвестиционной деятельности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-89949,03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6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-109668,51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-141296,58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-76322,39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-48536,50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-58220,51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Собственный (акционерный) капитал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Займы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95276,08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6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74074,77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79770,33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Выплаты в погашение займов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23960,52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74823,60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99847,78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Выплаты процентов по займам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2497,95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6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5365,16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8478,55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8933,60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6550,30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3200,10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Лизинговые платежи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Выплаты дивидендов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Кэш-фло от финансовой деятельности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92778,13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6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68709,61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71291,78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-32894,12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-81373,90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-103047,88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Баланс наличности на начало периода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6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200,00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200,00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199,99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199,98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199,98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"/>
        </w:trPr>
        <w:tc>
          <w:tcPr>
            <w:tcW w:w="3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ind w:left="1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Баланс наличности на конец периода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jc w:val="right"/>
              <w:ind w:righ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200,00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jc w:val="right"/>
              <w:ind w:right="36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200,00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jc w:val="right"/>
              <w:ind w:righ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199,99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jc w:val="right"/>
              <w:ind w:righ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199,98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jc w:val="right"/>
              <w:ind w:righ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199,98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jc w:val="right"/>
              <w:ind w:righ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200,03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880"/>
          </w:cols>
          <w:pgMar w:left="1020" w:top="1440" w:right="4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83"/>
        </w:trPr>
        <w:tc>
          <w:tcPr>
            <w:tcW w:w="3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gridSpan w:val="3"/>
          </w:tcPr>
          <w:p>
            <w:pPr>
              <w:jc w:val="right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Баланс (тыс. руб.)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3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Строка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1кв. 2008г.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2кв. 2008г.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3кв. 2008г.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4кв. 2008г.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1кв. 2009г.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2кв. 2009г.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3кв.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Денежные средства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200,00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200,00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199,99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199,98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199,98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200,03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Счета к получению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Сырье, материалы и комплектующие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Незавершенное производство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Запасы готовой продукции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Банковские вклады и ценные бумаги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Краткосрочные предоплаченные расходы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13980,82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24320,68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35054,42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29895,41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11662,35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Суммарные текущие активы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14180,82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24520,67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35254,41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30095,39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11862,34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200,03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Основные средства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Накопленная амортизация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Остаточная стоимость основных средств: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Земля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Здания и сооружения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Оборудование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Предоплаченные расходы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Другие активы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Инвестиции в основные фонды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Инвестиции в ценные бумаги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Имущество в лизинге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3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  <w:shd w:val="clear" w:color="auto" w:fill="9AFFFF"/>
          </w:tcPr>
          <w:p>
            <w:pPr>
              <w:ind w:left="12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СУММАРНЫЙ АКТИВ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  <w:shd w:val="clear" w:color="auto" w:fill="9AFFFF"/>
          </w:tcPr>
          <w:p>
            <w:pPr>
              <w:jc w:val="right"/>
              <w:ind w:right="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14180,82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  <w:shd w:val="clear" w:color="auto" w:fill="9AFFFF"/>
          </w:tcPr>
          <w:p>
            <w:pPr>
              <w:jc w:val="right"/>
              <w:ind w:right="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24520,67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  <w:shd w:val="clear" w:color="auto" w:fill="9AFFFF"/>
          </w:tcPr>
          <w:p>
            <w:pPr>
              <w:jc w:val="right"/>
              <w:ind w:right="35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35254,41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  <w:shd w:val="clear" w:color="auto" w:fill="9AFFFF"/>
          </w:tcPr>
          <w:p>
            <w:pPr>
              <w:jc w:val="right"/>
              <w:ind w:right="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30095,39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  <w:shd w:val="clear" w:color="auto" w:fill="9AFFFF"/>
          </w:tcPr>
          <w:p>
            <w:pPr>
              <w:jc w:val="right"/>
              <w:ind w:right="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11862,34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  <w:shd w:val="clear" w:color="auto" w:fill="9AFFFF"/>
          </w:tcPr>
          <w:p>
            <w:pPr>
              <w:jc w:val="right"/>
              <w:ind w:right="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200,03</w:t>
            </w:r>
          </w:p>
        </w:tc>
        <w:tc>
          <w:tcPr>
            <w:tcW w:w="520" w:type="dxa"/>
            <w:vAlign w:val="bottom"/>
            <w:vMerge w:val="restart"/>
            <w:shd w:val="clear" w:color="auto" w:fill="9AFFFF"/>
          </w:tcPr>
          <w:p>
            <w:pPr>
              <w:jc w:val="right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15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vMerge w:val="continue"/>
            <w:shd w:val="clear" w:color="auto" w:fill="9AFFF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Отсроченные налоговые платежи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8902,91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Краткосрочные займы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75353,46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164394,28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244711,60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225160,66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150337,06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50489,28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Счета к оплате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Полученные авансы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Суммарные краткосрочные обязательства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75353,46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164394,28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244711,60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225160,66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150337,06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59392,19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Долгосрочные займы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19922,62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4956,57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4409,58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Обыкновенные акции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Привилегированные акции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Капитал внесенный сверх номинала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Резервные фонды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Добавочный капитал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Нераспределенная прибыль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-81095,26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-144830,18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-213866,77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-195065,27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-138474,72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-59192,16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Суммарный собственный капитал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-81095,26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-144830,18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-213866,77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-195065,27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-138474,72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-59192,16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3580" w:type="dxa"/>
            <w:vAlign w:val="bottom"/>
            <w:tcBorders>
              <w:top w:val="single" w:sz="8" w:color="9AFFFF"/>
              <w:left w:val="single" w:sz="8" w:color="auto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ind w:left="1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СУММАРНЫЙ ПАССИВ</w:t>
            </w:r>
          </w:p>
        </w:tc>
        <w:tc>
          <w:tcPr>
            <w:tcW w:w="114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jc w:val="right"/>
              <w:ind w:righ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14180,82</w:t>
            </w:r>
          </w:p>
        </w:tc>
        <w:tc>
          <w:tcPr>
            <w:tcW w:w="112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jc w:val="right"/>
              <w:ind w:righ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24520,67</w:t>
            </w:r>
          </w:p>
        </w:tc>
        <w:tc>
          <w:tcPr>
            <w:tcW w:w="114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jc w:val="right"/>
              <w:ind w:right="35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35254,41</w:t>
            </w:r>
          </w:p>
        </w:tc>
        <w:tc>
          <w:tcPr>
            <w:tcW w:w="112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jc w:val="right"/>
              <w:ind w:righ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30095,39</w:t>
            </w:r>
          </w:p>
        </w:tc>
        <w:tc>
          <w:tcPr>
            <w:tcW w:w="114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jc w:val="right"/>
              <w:ind w:righ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11862,34</w:t>
            </w:r>
          </w:p>
        </w:tc>
        <w:tc>
          <w:tcPr>
            <w:tcW w:w="1120" w:type="dxa"/>
            <w:vAlign w:val="bottom"/>
            <w:tcBorders>
              <w:top w:val="single" w:sz="8" w:color="9AFFFF"/>
              <w:bottom w:val="single" w:sz="8" w:color="auto"/>
              <w:right w:val="single" w:sz="8" w:color="auto"/>
            </w:tcBorders>
            <w:shd w:val="clear" w:color="auto" w:fill="9AFFFF"/>
          </w:tcPr>
          <w:p>
            <w:pPr>
              <w:jc w:val="right"/>
              <w:ind w:righ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200,03</w:t>
            </w:r>
          </w:p>
        </w:tc>
        <w:tc>
          <w:tcPr>
            <w:tcW w:w="520" w:type="dxa"/>
            <w:vAlign w:val="bottom"/>
            <w:tcBorders>
              <w:top w:val="single" w:sz="8" w:color="9AFFFF"/>
              <w:bottom w:val="single" w:sz="8" w:color="auto"/>
            </w:tcBorders>
            <w:shd w:val="clear" w:color="auto" w:fill="9AFFFF"/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880"/>
          </w:cols>
          <w:pgMar w:left="1020" w:top="1440" w:right="4" w:bottom="1440" w:gutter="0" w:footer="0" w:header="0"/>
        </w:sectPr>
      </w:pPr>
    </w:p>
    <w:sectPr>
      <w:pgSz w:w="16840" w:h="11904" w:orient="landscape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  <w:font w:name="Arial Unicode MS">
    <w:panose1 w:val="020B0604020202020204"/>
    <w:charset w:val="00"/>
    <w:family w:val="swiss"/>
    <w:pitch w:val="variable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3B25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1E1F"/>
    <w:multiLevelType w:val="hybridMultilevel"/>
    <w:lvl w:ilvl="0">
      <w:lvlJc w:val="left"/>
      <w:lvlText w:val="%1"/>
      <w:numFmt w:val="decimal"/>
      <w:start w:val="30"/>
    </w:lvl>
  </w:abstractNum>
  <w:abstractNum w:abstractNumId="2">
    <w:nsid w:val="6E5D"/>
    <w:multiLevelType w:val="hybridMultilevel"/>
    <w:lvl w:ilvl="0">
      <w:lvlJc w:val="left"/>
      <w:lvlText w:val=" "/>
      <w:numFmt w:val="bullet"/>
      <w:start w:val="1"/>
    </w:lvl>
  </w:abstractNum>
  <w:abstractNum w:abstractNumId="3">
    <w:nsid w:val="1AD4"/>
    <w:multiLevelType w:val="hybridMultilevel"/>
    <w:lvl w:ilvl="0">
      <w:lvlJc w:val="left"/>
      <w:lvlText w:val="В"/>
      <w:numFmt w:val="bullet"/>
      <w:start w:val="1"/>
    </w:lvl>
  </w:abstractNum>
  <w:abstractNum w:abstractNumId="4">
    <w:nsid w:val="63CB"/>
    <w:multiLevelType w:val="hybridMultilevel"/>
    <w:lvl w:ilvl="0">
      <w:lvlJc w:val="left"/>
      <w:lvlText w:val="%1."/>
      <w:numFmt w:val="decimal"/>
      <w:start w:val="1"/>
    </w:lvl>
  </w:abstractNum>
  <w:abstractNum w:abstractNumId="5">
    <w:nsid w:val="6BFC"/>
    <w:multiLevelType w:val="hybridMultilevel"/>
    <w:lvl w:ilvl="0">
      <w:lvlJc w:val="left"/>
      <w:lvlText w:val="ООО"/>
      <w:numFmt w:val="bullet"/>
      <w:start w:val="1"/>
    </w:lvl>
  </w:abstractNum>
  <w:abstractNum w:abstractNumId="6">
    <w:nsid w:val="7F96"/>
    <w:multiLevelType w:val="hybridMultilevel"/>
    <w:lvl w:ilvl="0">
      <w:lvlJc w:val="left"/>
      <w:lvlText w:val="ООО"/>
      <w:numFmt w:val="bullet"/>
      <w:start w:val="1"/>
    </w:lvl>
  </w:abstractNum>
  <w:abstractNum w:abstractNumId="7">
    <w:nsid w:val="7FF5"/>
    <w:multiLevelType w:val="hybridMultilevel"/>
    <w:lvl w:ilvl="0">
      <w:lvlJc w:val="left"/>
      <w:lvlText w:val="В"/>
      <w:numFmt w:val="bullet"/>
      <w:start w:val="1"/>
    </w:lvl>
  </w:abstractNum>
  <w:abstractNum w:abstractNumId="8">
    <w:nsid w:val="4E45"/>
    <w:multiLevelType w:val="hybridMultilevel"/>
    <w:lvl w:ilvl="0">
      <w:lvlJc w:val="left"/>
      <w:lvlText w:val="%1."/>
      <w:numFmt w:val="decimal"/>
      <w:start w:val="2"/>
    </w:lvl>
  </w:abstractNum>
  <w:abstractNum w:abstractNumId="9">
    <w:nsid w:val="323B"/>
    <w:multiLevelType w:val="hybridMultilevel"/>
    <w:lvl w:ilvl="0">
      <w:lvlJc w:val="left"/>
      <w:lvlText w:val=" "/>
      <w:numFmt w:val="bullet"/>
      <w:start w:val="1"/>
    </w:lvl>
  </w:abstractNum>
  <w:abstractNum w:abstractNumId="10">
    <w:nsid w:val="2213"/>
    <w:multiLevelType w:val="hybridMultilevel"/>
    <w:lvl w:ilvl="0">
      <w:lvlJc w:val="left"/>
      <w:lvlText w:val=" "/>
      <w:numFmt w:val="bullet"/>
      <w:start w:val="1"/>
    </w:lvl>
  </w:abstractNum>
  <w:abstractNum w:abstractNumId="11">
    <w:nsid w:val="260D"/>
    <w:multiLevelType w:val="hybridMultilevel"/>
    <w:lvl w:ilvl="0">
      <w:lvlJc w:val="left"/>
      <w:lvlText w:val=" "/>
      <w:numFmt w:val="bullet"/>
      <w:start w:val="1"/>
    </w:lvl>
  </w:abstractNum>
  <w:abstractNum w:abstractNumId="12">
    <w:nsid w:val="6B89"/>
    <w:multiLevelType w:val="hybridMultilevel"/>
    <w:lvl w:ilvl="0">
      <w:lvlJc w:val="left"/>
      <w:lvlText w:val=" "/>
      <w:numFmt w:val="bullet"/>
      <w:start w:val="1"/>
    </w:lvl>
  </w:abstractNum>
  <w:abstractNum w:abstractNumId="13">
    <w:nsid w:val="30A"/>
    <w:multiLevelType w:val="hybridMultilevel"/>
    <w:lvl w:ilvl="0">
      <w:lvlJc w:val="left"/>
      <w:lvlText w:val=" "/>
      <w:numFmt w:val="bullet"/>
      <w:start w:val="1"/>
    </w:lvl>
  </w:abstractNum>
  <w:abstractNum w:abstractNumId="14">
    <w:nsid w:val="301C"/>
    <w:multiLevelType w:val="hybridMultilevel"/>
    <w:lvl w:ilvl="0">
      <w:lvlJc w:val="left"/>
      <w:lvlText w:val="К"/>
      <w:numFmt w:val="bullet"/>
      <w:start w:val="1"/>
    </w:lvl>
    <w:lvl w:ilvl="1">
      <w:lvlJc w:val="left"/>
      <w:lvlText w:val="•"/>
      <w:numFmt w:val="bullet"/>
      <w:start w:val="1"/>
    </w:lvl>
  </w:abstractNum>
  <w:abstractNum w:abstractNumId="15">
    <w:nsid w:val="BDB"/>
    <w:multiLevelType w:val="hybridMultilevel"/>
    <w:lvl w:ilvl="0">
      <w:lvlJc w:val="left"/>
      <w:lvlText w:val="и"/>
      <w:numFmt w:val="bullet"/>
      <w:start w:val="1"/>
    </w:lvl>
  </w:abstractNum>
  <w:abstractNum w:abstractNumId="16">
    <w:nsid w:val="56AE"/>
    <w:multiLevelType w:val="hybridMultilevel"/>
    <w:lvl w:ilvl="0">
      <w:lvlJc w:val="left"/>
      <w:lvlText w:val="С"/>
      <w:numFmt w:val="bullet"/>
      <w:start w:val="1"/>
    </w:lvl>
  </w:abstractNum>
  <w:abstractNum w:abstractNumId="17">
    <w:nsid w:val="732"/>
    <w:multiLevelType w:val="hybridMultilevel"/>
    <w:lvl w:ilvl="0">
      <w:lvlJc w:val="left"/>
      <w:lvlText w:val="ООО"/>
      <w:numFmt w:val="bullet"/>
      <w:start w:val="1"/>
    </w:lvl>
  </w:abstractNum>
  <w:abstractNum w:abstractNumId="18">
    <w:nsid w:val="120"/>
    <w:multiLevelType w:val="hybridMultilevel"/>
    <w:lvl w:ilvl="0">
      <w:lvlJc w:val="left"/>
      <w:lvlText w:val=" "/>
      <w:numFmt w:val="bullet"/>
      <w:start w:val="1"/>
    </w:lvl>
  </w:abstractNum>
  <w:abstractNum w:abstractNumId="19">
    <w:nsid w:val="759A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 "/>
      <w:numFmt w:val="bullet"/>
      <w:start w:val="1"/>
    </w:lvl>
  </w:abstractNum>
  <w:abstractNum w:abstractNumId="20">
    <w:nsid w:val="2350"/>
    <w:multiLevelType w:val="hybridMultilevel"/>
    <w:lvl w:ilvl="0">
      <w:lvlJc w:val="left"/>
      <w:lvlText w:val="%1."/>
      <w:numFmt w:val="decimal"/>
      <w:start w:val="3"/>
    </w:lvl>
  </w:abstractNum>
  <w:abstractNum w:abstractNumId="21">
    <w:nsid w:val="22EE"/>
    <w:multiLevelType w:val="hybridMultilevel"/>
    <w:lvl w:ilvl="0">
      <w:lvlJc w:val="left"/>
      <w:lvlText w:val="В"/>
      <w:numFmt w:val="bullet"/>
      <w:start w:val="1"/>
    </w:lvl>
  </w:abstractNum>
  <w:abstractNum w:abstractNumId="22">
    <w:nsid w:val="4B40"/>
    <w:multiLevelType w:val="hybridMultilevel"/>
    <w:lvl w:ilvl="0">
      <w:lvlJc w:val="left"/>
      <w:lvlText w:val="о"/>
      <w:numFmt w:val="bullet"/>
      <w:start w:val="1"/>
    </w:lvl>
  </w:abstractNum>
  <w:abstractNum w:abstractNumId="23">
    <w:nsid w:val="5878"/>
    <w:multiLevelType w:val="hybridMultilevel"/>
    <w:lvl w:ilvl="0">
      <w:lvlJc w:val="left"/>
      <w:lvlText w:val="В"/>
      <w:numFmt w:val="bullet"/>
      <w:start w:val="1"/>
    </w:lvl>
  </w:abstractNum>
  <w:abstractNum w:abstractNumId="24">
    <w:nsid w:val="6B36"/>
    <w:multiLevelType w:val="hybridMultilevel"/>
    <w:lvl w:ilvl="0">
      <w:lvlJc w:val="left"/>
      <w:lvlText w:val=" "/>
      <w:numFmt w:val="bullet"/>
      <w:start w:val="1"/>
    </w:lvl>
  </w:abstractNum>
  <w:abstractNum w:abstractNumId="25">
    <w:nsid w:val="5CFD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 "/>
      <w:numFmt w:val="bullet"/>
      <w:start w:val="1"/>
    </w:lvl>
  </w:abstractNum>
  <w:abstractNum w:abstractNumId="26">
    <w:nsid w:val="3E12"/>
    <w:multiLevelType w:val="hybridMultilevel"/>
    <w:lvl w:ilvl="0">
      <w:lvlJc w:val="left"/>
      <w:lvlText w:val=" "/>
      <w:numFmt w:val="bullet"/>
      <w:start w:val="1"/>
    </w:lvl>
  </w:abstractNum>
  <w:abstractNum w:abstractNumId="27">
    <w:nsid w:val="1A49"/>
    <w:multiLevelType w:val="hybridMultilevel"/>
    <w:lvl w:ilvl="0">
      <w:lvlJc w:val="left"/>
      <w:lvlText w:val="%1."/>
      <w:numFmt w:val="decimal"/>
      <w:start w:val="4"/>
    </w:lvl>
  </w:abstractNum>
  <w:abstractNum w:abstractNumId="28">
    <w:nsid w:val="5F32"/>
    <w:multiLevelType w:val="hybridMultilevel"/>
    <w:lvl w:ilvl="0">
      <w:lvlJc w:val="left"/>
      <w:lvlText w:val="в"/>
      <w:numFmt w:val="bullet"/>
      <w:start w:val="1"/>
    </w:lvl>
  </w:abstractNum>
  <w:abstractNum w:abstractNumId="29">
    <w:nsid w:val="3BF6"/>
    <w:multiLevelType w:val="hybridMultilevel"/>
    <w:lvl w:ilvl="0">
      <w:lvlJc w:val="left"/>
      <w:lvlText w:val="В"/>
      <w:numFmt w:val="bullet"/>
      <w:start w:val="1"/>
    </w:lvl>
  </w:abstractNum>
  <w:abstractNum w:abstractNumId="30">
    <w:nsid w:val="3A9E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5"/>
    </w:lvl>
  </w:abstractNum>
  <w:abstractNum w:abstractNumId="31">
    <w:nsid w:val="797D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 "/>
      <w:numFmt w:val="bullet"/>
      <w:start w:val="1"/>
    </w:lvl>
  </w:abstractNum>
  <w:abstractNum w:abstractNumId="32">
    <w:nsid w:val="5F49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6"/>
    </w:lvl>
  </w:abstractNum>
  <w:abstractNum w:abstractNumId="33">
    <w:nsid w:val="DDC"/>
    <w:multiLevelType w:val="hybridMultilevel"/>
    <w:lvl w:ilvl="0">
      <w:lvlJc w:val="left"/>
      <w:lvlText w:val=" "/>
      <w:numFmt w:val="bullet"/>
      <w:start w:val="1"/>
    </w:lvl>
  </w:abstractNum>
  <w:abstractNum w:abstractNumId="34">
    <w:nsid w:val="4CAD"/>
    <w:multiLevelType w:val="hybridMultilevel"/>
    <w:lvl w:ilvl="0">
      <w:lvlJc w:val="left"/>
      <w:lvlText w:val="%1."/>
      <w:numFmt w:val="decimal"/>
      <w:start w:val="7"/>
    </w:lvl>
  </w:abstractNum>
  <w:abstractNum w:abstractNumId="35">
    <w:nsid w:val="314F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8"/>
    </w:lvl>
  </w:abstractNum>
  <w:abstractNum w:abstractNumId="36">
    <w:nsid w:val="5E14"/>
    <w:multiLevelType w:val="hybridMultilevel"/>
    <w:lvl w:ilvl="0">
      <w:lvlJc w:val="left"/>
      <w:lvlText w:val=" "/>
      <w:numFmt w:val="bullet"/>
      <w:start w:val="1"/>
    </w:lvl>
  </w:abstractNum>
  <w:abstractNum w:abstractNumId="37">
    <w:nsid w:val="4DF2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9"/>
    </w:lvl>
  </w:abstractNum>
  <w:abstractNum w:abstractNumId="38">
    <w:nsid w:val="4944"/>
    <w:multiLevelType w:val="hybridMultilevel"/>
    <w:lvl w:ilvl="0">
      <w:lvlJc w:val="left"/>
      <w:lvlText w:val="%1"/>
      <w:numFmt w:val="decimal"/>
      <w:start w:val="209"/>
    </w:lvl>
  </w:abstractNum>
  <w:abstractNum w:abstractNumId="39">
    <w:nsid w:val="2E40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10"/>
    </w:lvl>
  </w:abstractNum>
  <w:abstractNum w:abstractNumId="40">
    <w:nsid w:val="1366"/>
    <w:multiLevelType w:val="hybridMultilevel"/>
    <w:lvl w:ilvl="0">
      <w:lvlJc w:val="left"/>
      <w:lvlText w:val="В"/>
      <w:numFmt w:val="bullet"/>
      <w:start w:val="1"/>
    </w:lvl>
  </w:abstractNum>
  <w:abstractNum w:abstractNumId="41">
    <w:nsid w:val="1CD0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 "/>
      <w:numFmt w:val="bullet"/>
      <w:start w:val="1"/>
    </w:lvl>
  </w:abstractNum>
  <w:abstractNum w:abstractNumId="42">
    <w:nsid w:val="366B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 "/>
      <w:numFmt w:val="bullet"/>
      <w:start w:val="1"/>
    </w:lvl>
  </w:abstractNum>
  <w:abstractNum w:abstractNumId="43">
    <w:nsid w:val="66C4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11"/>
    </w:lvl>
  </w:abstractNum>
  <w:abstractNum w:abstractNumId="44">
    <w:nsid w:val="4230"/>
    <w:multiLevelType w:val="hybridMultilevel"/>
    <w:lvl w:ilvl="0">
      <w:lvlJc w:val="left"/>
      <w:lvlText w:val="В"/>
      <w:numFmt w:val="bullet"/>
      <w:start w:val="1"/>
    </w:lvl>
  </w:abstractNum>
  <w:abstractNum w:abstractNumId="45">
    <w:nsid w:val="7EB7"/>
    <w:multiLevelType w:val="hybridMultilevel"/>
    <w:lvl w:ilvl="0">
      <w:lvlJc w:val="left"/>
      <w:lvlText w:val="%1."/>
      <w:numFmt w:val="decimal"/>
      <w:start w:val="12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>convertonlinefree.com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2016-12-28T19:15:16Z</dcterms:created>
  <dcterms:modified xsi:type="dcterms:W3CDTF">2016-12-28T19:15:16Z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